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78"/>
        <w:pBdr/>
        <w:bidi w:val="false"/>
        <w:spacing w:after="150" w:before="0"/>
        <w:ind w:right="0" w:firstLine="0" w:left="0"/>
        <w:jc w:val="center"/>
        <w:rPr>
          <w:b/>
          <w:sz w:val="21"/>
        </w:rPr>
      </w:pPr>
      <w:r>
        <w:rPr>
          <w:b/>
          <w:sz w:val="21"/>
        </w:rPr>
        <w:t xml:space="preserve">И н ф о р м а ц и я</w:t>
        <w:br/>
        <w:t xml:space="preserve">о происшествиях за период c 12.10.2026 по 18.10.2026 </w:t>
      </w:r>
      <w:r>
        <w:rPr>
          <w:b/>
          <w:sz w:val="21"/>
        </w:rPr>
      </w:r>
    </w:p>
    <w:p>
      <w:pPr>
        <w:pStyle w:val="678"/>
        <w:pBdr/>
        <w:bidi w:val="false"/>
        <w:spacing w:after="75" w:before="225"/>
        <w:ind w:right="0" w:firstLine="0" w:left="0"/>
        <w:jc w:val="left"/>
        <w:rPr>
          <w:b/>
          <w:caps/>
          <w:color w:val="000000"/>
          <w:sz w:val="19"/>
        </w:rPr>
      </w:pPr>
      <w:r>
        <w:rPr>
          <w:b/>
          <w:caps/>
          <w:color w:val="000000"/>
          <w:sz w:val="19"/>
        </w:rPr>
        <w:t xml:space="preserve">ОПЕРАТИВНЫЕ ПРОИСШЕСТВИЯ (ЧС)</w:t>
      </w:r>
      <w:r>
        <w:rPr>
          <w:b/>
          <w:caps/>
          <w:color w:val="000000"/>
          <w:sz w:val="19"/>
        </w:rPr>
      </w:r>
    </w:p>
    <w:tbl>
      <w:tblPr>
        <w:tblInd w:w="0" w:type="dxa"/>
        <w:tblW w:w="5000" w:type="pct"/>
        <w:tblCellMar>
          <w:left w:w="28" w:type="dxa"/>
          <w:top w:w="28" w:type="dxa"/>
          <w:right w:w="28" w:type="dxa"/>
          <w:bottom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85"/>
        <w:gridCol w:w="1106"/>
        <w:gridCol w:w="1226"/>
        <w:gridCol w:w="1071"/>
        <w:gridCol w:w="1252"/>
        <w:gridCol w:w="1258"/>
        <w:gridCol w:w="825"/>
        <w:gridCol w:w="1492"/>
        <w:gridCol w:w="1114"/>
        <w:gridCol w:w="682"/>
        <w:gridCol w:w="1028"/>
      </w:tblGrid>
      <w:tr>
        <w:trPr>
          <w:tblHeader/>
        </w:trPr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  <w:vMerge w:val="restart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№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  <w:vMerge w:val="restart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Дата, время внесения информации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  <w:vMerge w:val="restart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Вид ЧС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  <w:vMerge w:val="restart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Канал поступления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  <w:vMerge w:val="restart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Район происшествия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  <w:vMerge w:val="restart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Краткая причина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  <w:vMerge w:val="restart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Флаг контроля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  <w:vMerge w:val="restart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Вид выполняемых работ</w:t>
            </w:r>
            <w:r/>
          </w:p>
        </w:tc>
        <w:tc>
          <w:tcPr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24" w:type="dxa"/>
            <w:vAlign w:val="center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Время</w:t>
            </w:r>
            <w:r/>
          </w:p>
        </w:tc>
      </w:tr>
      <w:tr>
        <w:trPr>
          <w:tblHeader/>
        </w:trPr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320" w:type="dxa"/>
            <w:vAlign w:val="center"/>
            <w:vMerge w:val="continue"/>
          </w:tcPr>
          <w:p>
            <w:pPr>
              <w:pStyle w:val="671"/>
              <w:pBdr/>
              <w:bidi w:val="false"/>
              <w:spacing w:after="283" w:before="0"/>
              <w:ind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86" w:type="dxa"/>
            <w:vAlign w:val="center"/>
            <w:vMerge w:val="continue"/>
          </w:tcPr>
          <w:p>
            <w:pPr>
              <w:pStyle w:val="671"/>
              <w:pBdr/>
              <w:bidi w:val="false"/>
              <w:spacing w:after="283" w:before="0"/>
              <w:ind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996" w:type="dxa"/>
            <w:vAlign w:val="center"/>
            <w:vMerge w:val="continue"/>
          </w:tcPr>
          <w:p>
            <w:pPr>
              <w:pStyle w:val="671"/>
              <w:pBdr/>
              <w:bidi w:val="false"/>
              <w:spacing w:after="283" w:before="0"/>
              <w:ind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86" w:type="dxa"/>
            <w:vAlign w:val="center"/>
            <w:vMerge w:val="continue"/>
          </w:tcPr>
          <w:p>
            <w:pPr>
              <w:pStyle w:val="671"/>
              <w:pBdr/>
              <w:bidi w:val="false"/>
              <w:spacing w:after="283" w:before="0"/>
              <w:ind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06" w:type="dxa"/>
            <w:vAlign w:val="center"/>
            <w:vMerge w:val="continue"/>
          </w:tcPr>
          <w:p>
            <w:pPr>
              <w:pStyle w:val="671"/>
              <w:pBdr/>
              <w:bidi w:val="false"/>
              <w:spacing w:after="283" w:before="0"/>
              <w:ind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1" w:type="dxa"/>
            <w:vAlign w:val="center"/>
            <w:vMerge w:val="continue"/>
          </w:tcPr>
          <w:p>
            <w:pPr>
              <w:pStyle w:val="671"/>
              <w:pBdr/>
              <w:bidi w:val="false"/>
              <w:spacing w:after="283" w:before="0"/>
              <w:ind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46" w:type="dxa"/>
            <w:vAlign w:val="center"/>
            <w:vMerge w:val="continue"/>
          </w:tcPr>
          <w:p>
            <w:pPr>
              <w:pStyle w:val="671"/>
              <w:pBdr/>
              <w:bidi w:val="false"/>
              <w:spacing w:after="283" w:before="0"/>
              <w:ind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076" w:type="dxa"/>
            <w:vAlign w:val="center"/>
            <w:vMerge w:val="continue"/>
          </w:tcPr>
          <w:p>
            <w:pPr>
              <w:pStyle w:val="671"/>
              <w:pBdr/>
              <w:bidi w:val="false"/>
              <w:spacing w:after="283" w:before="0"/>
              <w:ind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6" w:type="dxa"/>
            <w:vAlign w:val="center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Поступления информации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726" w:type="dxa"/>
            <w:vAlign w:val="center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Начала работ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11" w:type="dxa"/>
            <w:vAlign w:val="center"/>
          </w:tcPr>
          <w:p>
            <w:pPr>
              <w:pStyle w:val="680"/>
              <w:pBdr/>
              <w:bidi w:val="false"/>
              <w:spacing w:after="283" w:before="0"/>
              <w:ind w:right="0" w:firstLine="0" w:left="0"/>
              <w:rPr/>
            </w:pPr>
            <w:r>
              <w:t xml:space="preserve">Окончания работ</w:t>
            </w:r>
            <w:r/>
          </w:p>
        </w:tc>
      </w:tr>
      <w:tr>
        <w:trPr/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center"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</w:tcPr>
          <w:p w14:paraId="24E04640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</w:tcPr>
          <w:p w14:paraId="40F2FB4C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</w:tcPr>
          <w:p w14:paraId="31034DAA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</w:tcPr>
          <w:p w14:paraId="6A518937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</w:tcPr>
          <w:p w14:paraId="5660961A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</w:tcPr>
          <w:p w14:paraId="4695ABF5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</w:tcPr>
          <w:p w14:paraId="704A40F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4" w:type="dxa"/>
            <w:vAlign w:val="center"/>
          </w:tcPr>
          <w:p w14:paraId="59C00BEB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82" w:type="dxa"/>
            <w:vAlign w:val="center"/>
          </w:tcPr>
          <w:p w14:paraId="2614451F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28" w:type="dxa"/>
            <w:vAlign w:val="center"/>
          </w:tcPr>
          <w:p w14:paraId="193050CD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center"/>
              <w:rPr/>
            </w:pPr>
            <w:r>
              <w:rPr>
                <w:lang w:val="ru-RU"/>
              </w:rPr>
              <w:t xml:space="preserve">1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13.10.2026 15:00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Задымление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ОД ПСЧ ФПС МЧС России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п. Искателей, ул. Угольная, д. 8.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Задымление за магазином "Светофор".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Снято с контроля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ПСЧ ФПС МЧС России - 4 чел., 1 ед. техники. Помощь не потребовалась. Обнаружено контролируемое сжигание мусора.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4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 Октября 2026 г.</w:t>
              <w:br/>
              <w:t xml:space="preserve">11:26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8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 Октября 2026 г.</w:t>
              <w:br/>
              <w:t xml:space="preserve">11:26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2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 Октября 2026 г.</w:t>
              <w:br/>
              <w:t xml:space="preserve">11:26</w:t>
            </w:r>
            <w:r/>
          </w:p>
        </w:tc>
      </w:tr>
      <w:tr>
        <w:trPr/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center"/>
              <w:rPr/>
            </w:pPr>
            <w:r>
              <w:rPr>
                <w:lang w:val="ru-RU"/>
              </w:rPr>
              <w:t xml:space="preserve">2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13.10.2026 18:30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Возгорание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ОД ПСЧ ФПС МЧС России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п. Искателей, база отдыха "Большуха".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Возгорание пристройки с дровами.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Снято с контроля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ПСЧ ФПС МЧС России - 11 чел., 3 ед. техники. Возгорание на площади 16 кв. м. ликвидировано. Погибших и пострадавших нет. 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4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 Октября 2026 г.</w:t>
              <w:br/>
              <w:t xml:space="preserve">17:25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8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 Октября 2026 г.</w:t>
              <w:br/>
              <w:t xml:space="preserve">17:33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2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 Октября 2026 г.</w:t>
              <w:br/>
              <w:t xml:space="preserve">18:05</w:t>
            </w:r>
            <w:r/>
          </w:p>
        </w:tc>
      </w:tr>
      <w:tr>
        <w:trPr/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center"/>
              <w:rPr/>
            </w:pPr>
            <w:r>
              <w:rPr>
                <w:lang w:val="ru-RU"/>
              </w:rPr>
              <w:t xml:space="preserve">3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13.10.2026 21:04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Прочее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ОД ПСЧ ФПС МЧС России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Полигон ТБО г. Нарьян-Мар.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Проливка, оценка обстановки, сбор остаточного ПТВ после ликвидации возгорания на полигоне ТБО.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Снято с контроля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ПСЧ ФПС МЧС России - 9 чел., 2 ед. техники. Проливку завершили. Возгораний не выявлено.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4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 Октября 2026 г.</w:t>
              <w:br/>
              <w:t xml:space="preserve">08:46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8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 Октября 2026 г.</w:t>
              <w:br/>
              <w:t xml:space="preserve">08:46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2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13 Октября 2026 г.</w:t>
              <w:br/>
              <w:t xml:space="preserve">17:12</w:t>
            </w:r>
            <w:r/>
          </w:p>
        </w:tc>
      </w:tr>
      <w:tr>
        <w:trPr/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center"/>
              <w:rPr/>
            </w:pPr>
            <w:r>
              <w:rPr>
                <w:lang w:val="ru-RU"/>
              </w:rPr>
              <w:t xml:space="preserve">4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14.10.2026 10:27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Блокировка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ОД НАКАСЦ МЧС России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г. Нарьян-Мар, ул. Ленина, д. 27 "А" ,кв. 26.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Деблокация входной двери.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Снято с контроля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НАКАСЦ МЧС России - 3 чел., 1 ед. техники. Дверь деблокирована.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4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14 Октября 2026 г.</w:t>
              <w:br/>
              <w:t xml:space="preserve">10:21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8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14 Октября 2026 г.</w:t>
              <w:br/>
              <w:t xml:space="preserve">10:21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2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14 Октября 2026 г.</w:t>
              <w:br/>
              <w:t xml:space="preserve">10:41</w:t>
            </w:r>
            <w:r/>
          </w:p>
        </w:tc>
      </w:tr>
      <w:tr>
        <w:trPr/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center"/>
              <w:rPr/>
            </w:pPr>
            <w:r>
              <w:rPr>
                <w:lang w:val="ru-RU"/>
              </w:rPr>
              <w:t xml:space="preserve">5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15.10.2026 23:51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Поиски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Абонент 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г. Нарьян-Мар, район оз. Молодёжное.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Женщина самостоятельно позвонила и сообщила о том, что не может найти дорогу в город.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Снято с контроля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КУ НАО "ПСС" - 2 чел., 1 ед. тех. Женщина доставлена в г. Нарьян-Мар. В медицинской помощи не нуждается.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4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15 Октября 2026 г.</w:t>
              <w:br/>
              <w:t xml:space="preserve">15:15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8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15 Октября 2026 г.</w:t>
              <w:br/>
              <w:t xml:space="preserve">15:24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2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15 Октября 2026 г.</w:t>
              <w:br/>
              <w:t xml:space="preserve">16:37</w:t>
            </w:r>
            <w:r/>
          </w:p>
        </w:tc>
      </w:tr>
      <w:tr>
        <w:trPr/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center"/>
              <w:rPr/>
            </w:pPr>
            <w:r>
              <w:rPr>
                <w:lang w:val="ru-RU"/>
              </w:rPr>
              <w:t xml:space="preserve">6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16.10.2026 10:00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Задымление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Абонент 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г. Нарьян-Мар, полигон ТБО.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Тление мусора на полигоне ТБО.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На контроле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16.10.2026 ПСЧ ФПС МЧС России - 9 чел., 4 ед. тех., МУП "КБ и БО" - 6 чел., 3 ед. тех., КУ НАО «ПСС» - 3 чел., 1 ед. тех. Производится проливка. 17.10.2026 ПСЧ ФПС МЧС России - 11 чел., 4 ед.</w:t>
            </w:r>
            <w:r>
              <w:t xml:space="preserve"> техники; МУП "КБ и БО" - 6 чел., 2 ед. техники; МР "Заполярный район" - 2 чел.; п. Искателей - 2 чел.; ГУП НАО "Нарьян-Мардорремстрой" - 1 чел., 1 ед. техники; Региональные спасатели КУ НАО "ПСС" - 3 чел., 1 ед. техники. Производится проливка. 18.10.2026 </w:t>
            </w:r>
            <w:r>
              <w:t xml:space="preserve">ПСЧ ФПС МЧС России - 11 чел., 4 ед. техники; МУП "КБ и БО" - 6 чел., 3 ед. техники; МР "Заполярный район" - 2 чел.; ГУП НАО "Нарьян-Мардорремстрой" - 1 чел., 1 ед. техники; Региональные спасатели КУ НАО "ПСС" - 2 чел., 1 ед. техники. Производится проливка.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4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 Октября 2026 г.</w:t>
              <w:br/>
              <w:t xml:space="preserve">09:49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8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 Октября 2026 г.</w:t>
              <w:br/>
              <w:t xml:space="preserve">09:56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2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center"/>
              <w:rPr/>
            </w:pPr>
            <w:r>
              <w:rPr>
                <w:lang w:val="ru-RU"/>
              </w:rPr>
              <w:t xml:space="preserve">7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16.10.2026 13:55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Задымление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Абонент 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Лесной массив в районе залива «Городецкая курья».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Сообщение о задымлении.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Снято с контроля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ПСЧ ФПС МЧС России - 5 чел., 1 ед. тех. Обнаружено контролируемое сжигание мусора в бочке. 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4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 Октября 2026 г.</w:t>
              <w:br/>
              <w:t xml:space="preserve">13:42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8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 Октября 2026 г.</w:t>
              <w:br/>
              <w:t xml:space="preserve">13:49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2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 Октября 2026 г.</w:t>
              <w:br/>
              <w:t xml:space="preserve">14:19</w:t>
            </w:r>
            <w:r/>
          </w:p>
        </w:tc>
      </w:tr>
      <w:tr>
        <w:trPr/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28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center"/>
              <w:rPr/>
            </w:pPr>
            <w:r>
              <w:rPr>
                <w:lang w:val="ru-RU"/>
              </w:rPr>
              <w:t xml:space="preserve">8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0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16.10.2026 16:51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26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Горение мусора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71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ОД ПСЧ ФПС МЧС России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Район бывшего полигона ТБО п. Искателей.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25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Сообщение о возгорании в лесном массиве.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825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Снято с контроля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9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ПСЧ ФПС МЧС России - 3 чел., 1 ед. тех. Обнаружено горение досок. Ликвидировано. 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114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 Октября 2026 г.</w:t>
              <w:br/>
              <w:t xml:space="preserve">16:29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682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 w:right="0" w:firstLine="0" w:left="0"/>
              <w:jc w:val="left"/>
              <w:rPr/>
            </w:pPr>
            <w:r>
              <w:t xml:space="preserve">16 Октября 2026 г.</w:t>
              <w:br/>
              <w:t xml:space="preserve">16:29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028" w:type="dxa"/>
            <w:vAlign w:val="center"/>
          </w:tcPr>
          <w:p>
            <w:pPr>
              <w:pStyle w:val="671"/>
              <w:pBdr/>
              <w:bidi w:val="false"/>
              <w:spacing w:after="283" w:before="0"/>
              <w:ind/>
              <w:jc w:val="left"/>
              <w:rPr/>
            </w:pPr>
            <w:r>
              <w:t xml:space="preserve">16 Октября 2026 г.</w:t>
              <w:br/>
              <w:t xml:space="preserve">16:47</w:t>
            </w:r>
            <w:r/>
          </w:p>
        </w:tc>
      </w:tr>
    </w:tbl>
    <w:p>
      <w:pPr>
        <w:pStyle w:val="678"/>
        <w:pBdr/>
        <w:bidi w:val="false"/>
        <w:spacing w:after="300" w:before="450"/>
        <w:ind w:right="0" w:firstLine="0" w:left="0"/>
        <w:jc w:val="left"/>
        <w:rPr>
          <w:sz w:val="19"/>
        </w:rPr>
      </w:pPr>
      <w:r>
        <w:rPr>
          <w:b/>
          <w:sz w:val="19"/>
        </w:rPr>
        <w:t xml:space="preserve">Старший оператор системы-112:</w:t>
      </w:r>
      <w:r>
        <w:rPr>
          <w:sz w:val="19"/>
        </w:rPr>
        <w:t xml:space="preserve"> </w:t>
      </w:r>
      <w:r>
        <w:rPr>
          <w:b/>
          <w:sz w:val="19"/>
        </w:rPr>
        <w:t xml:space="preserve">Артеев Виктор Владимирович</w:t>
      </w:r>
      <w:r>
        <w:rPr>
          <w:sz w:val="19"/>
        </w:rPr>
        <w:t xml:space="preserve"> </w:t>
      </w:r>
      <w:r>
        <w:rPr>
          <w:sz w:val="19"/>
        </w:rPr>
      </w:r>
    </w:p>
    <w:p>
      <w:pPr>
        <w:pStyle w:val="678"/>
        <w:pBdr/>
        <w:bidi w:val="false"/>
        <w:spacing w:after="300" w:before="450"/>
        <w:ind w:right="0" w:firstLine="0" w:left="0"/>
        <w:jc w:val="left"/>
        <w:rPr>
          <w:sz w:val="19"/>
        </w:rPr>
      </w:pPr>
      <w:r>
        <w:rPr>
          <w:b/>
          <w:sz w:val="19"/>
        </w:rPr>
        <w:t xml:space="preserve">Диспетчер ЕДДС-112:</w:t>
      </w:r>
      <w:r>
        <w:rPr>
          <w:sz w:val="19"/>
        </w:rPr>
        <w:t xml:space="preserve"> </w:t>
      </w:r>
      <w:r>
        <w:rPr>
          <w:b/>
          <w:sz w:val="19"/>
        </w:rPr>
        <w:t xml:space="preserve">Чуклин Виктор Григорьевич</w:t>
      </w:r>
      <w:r>
        <w:rPr>
          <w:sz w:val="19"/>
        </w:rPr>
        <w:t xml:space="preserve"> </w:t>
      </w:r>
      <w:r>
        <w:rPr>
          <w:sz w:val="19"/>
        </w:rPr>
      </w:r>
    </w:p>
    <w:sectPr>
      <w:footnotePr/>
      <w:endnotePr/>
      <w:type w:val="nextPage"/>
      <w:pgSz w:h="11906" w:orient="landscape" w:w="16838"/>
      <w:pgMar w:top="283" w:right="283" w:bottom="283" w:left="283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Times New Roman;serif">
    <w:panose1 w:val="02020603050405020304"/>
  </w:font>
  <w:font w:name="Noto Sans">
    <w:panose1 w:val="020B0502040504020204"/>
  </w:font>
  <w:font w:name="Noto Sans Devanagari">
    <w:panose1 w:val="020B0502040504020204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1134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oto Sans" w:cs="Noto Sans Devanagari"/>
        <w:sz w:val="24"/>
        <w:szCs w:val="24"/>
        <w:lang w:val="en-US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5febd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5febd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eba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8fc6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8fc6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de6fe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64c5f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64c5f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ed3ba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c9c64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c9c64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5bafe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e864fc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e864fc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f1c0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ffdf71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ffdf71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8cecd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ee9190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ee9190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3feba" w:themeFill="accent1" w:themeFillTint="34"/>
        <w:tcBorders/>
      </w:tcPr>
    </w:tblStylePr>
    <w:tblStylePr w:type="band2Horz">
      <w:rPr>
        <w:rFonts w:ascii="Arial" w:hAnsi="Arial"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cc204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Horz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Horz">
      <w:rPr>
        <w:rFonts w:ascii="Arial" w:hAnsi="Arial"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2502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Horz">
      <w:rPr>
        <w:rFonts w:ascii="Arial" w:hAnsi="Arial"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5b00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Horz">
      <w:rPr>
        <w:rFonts w:ascii="Arial" w:hAnsi="Arial"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1312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0369a3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33e03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e03a3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7b4fb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b7f36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b7f36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e133fb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544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ffd544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706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e970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5fdaa" w:themeFill="accent1" w:themeFillTint="40"/>
        <w:tcBorders/>
      </w:tcPr>
    </w:tblStylePr>
    <w:tblStylePr w:type="band2Horz">
      <w:rPr>
        <w:rFonts w:ascii="Arial" w:hAnsi="Arial"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e5f0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aadffd" w:themeFill="accent2" w:themeFillTint="40"/>
        <w:tcBorders/>
      </w:tcPr>
    </w:tblStylePr>
    <w:tblStylePr w:type="band2Horz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dc9aa" w:themeFill="accent3" w:themeFillTint="40"/>
        <w:tcBorders/>
      </w:tcPr>
    </w:tblStylePr>
    <w:tblStylePr w:type="band2Horz">
      <w:rPr>
        <w:rFonts w:ascii="Arial" w:hAnsi="Arial"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3aafd" w:themeFill="accent4" w:themeFillTint="40"/>
        <w:tcBorders/>
      </w:tcPr>
    </w:tblStylePr>
    <w:tblStylePr w:type="band2Horz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ffeeb1" w:themeFill="accent5" w:themeFillTint="40"/>
        <w:tcBorders/>
      </w:tcPr>
    </w:tblStylePr>
    <w:tblStylePr w:type="band2Horz">
      <w:rPr>
        <w:rFonts w:ascii="Arial" w:hAnsi="Arial"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d930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6c3c2" w:themeFill="accent6" w:themeFillTint="40"/>
        <w:tcBorders/>
      </w:tcPr>
    </w:tblStylePr>
    <w:tblStylePr w:type="band2Horz">
      <w:rPr>
        <w:rFonts w:ascii="Arial" w:hAnsi="Arial"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f1d1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a3fd95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bde6fe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ed3ba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5bafe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ff1c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8cecd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6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148"/>
    <w:link w:val="673"/>
    <w:uiPriority w:val="99"/>
    <w:pPr>
      <w:pBdr/>
      <w:spacing/>
      <w:ind/>
    </w:pPr>
  </w:style>
  <w:style w:type="character" w:styleId="179">
    <w:name w:val="Footer Char"/>
    <w:basedOn w:val="148"/>
    <w:link w:val="672"/>
    <w:uiPriority w:val="99"/>
    <w:pPr>
      <w:pBdr/>
      <w:spacing/>
      <w:ind/>
    </w:p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widowControl w:val="false"/>
      <w:pBdr/>
      <w:bidi w:val="false"/>
      <w:spacing w:line="273" w:lineRule="auto"/>
      <w:ind/>
    </w:pPr>
    <w:rPr>
      <w:rFonts w:ascii="Times New Roman;serif" w:hAnsi="Times New Roman;serif" w:eastAsia="Times New Roman;serif" w:cs="Times New Roman;serif"/>
      <w:color w:val="000000"/>
      <w:sz w:val="17"/>
      <w:szCs w:val="17"/>
      <w:lang w:val="en-US" w:eastAsia="zh-CN" w:bidi="hi-IN"/>
    </w:rPr>
  </w:style>
  <w:style w:type="paragraph" w:styleId="665">
    <w:name w:val="Heading 1"/>
    <w:basedOn w:val="679"/>
    <w:next w:val="678"/>
    <w:qFormat/>
    <w:pPr>
      <w:pBdr/>
      <w:spacing/>
      <w:ind/>
    </w:pPr>
    <w:rPr>
      <w:rFonts w:ascii="Noto Sans" w:hAnsi="Noto Sans"/>
      <w:b/>
      <w:bCs/>
      <w:sz w:val="48"/>
      <w:szCs w:val="44"/>
    </w:rPr>
  </w:style>
  <w:style w:type="character" w:styleId="666">
    <w:name w:val="Endnote Characters"/>
    <w:qFormat/>
    <w:pPr>
      <w:pBdr/>
      <w:spacing/>
      <w:ind/>
    </w:pPr>
  </w:style>
  <w:style w:type="character" w:styleId="667">
    <w:name w:val="Footnote Characters"/>
    <w:qFormat/>
    <w:pPr>
      <w:pBdr/>
      <w:spacing/>
      <w:ind/>
    </w:pPr>
  </w:style>
  <w:style w:type="character" w:styleId="668">
    <w:name w:val="Hyperlink"/>
    <w:pPr>
      <w:pBdr/>
      <w:spacing/>
      <w:ind/>
    </w:pPr>
    <w:rPr>
      <w:color w:val="000080"/>
      <w:u w:val="single"/>
    </w:rPr>
  </w:style>
  <w:style w:type="paragraph" w:styleId="669">
    <w:name w:val="Horizontal Line"/>
    <w:basedOn w:val="664"/>
    <w:next w:val="678"/>
    <w:qFormat/>
    <w:pPr>
      <w:pBdr>
        <w:bottom w:val="single" w:color="808080" w:sz="2" w:space="0"/>
      </w:pBdr>
      <w:spacing w:after="283" w:before="0"/>
      <w:ind/>
    </w:pPr>
    <w:rPr>
      <w:sz w:val="12"/>
    </w:rPr>
  </w:style>
  <w:style w:type="paragraph" w:styleId="670">
    <w:name w:val="Envelope Return"/>
    <w:basedOn w:val="664"/>
    <w:pPr>
      <w:pBdr/>
      <w:spacing/>
      <w:ind/>
    </w:pPr>
    <w:rPr>
      <w:i/>
    </w:rPr>
  </w:style>
  <w:style w:type="paragraph" w:styleId="671">
    <w:name w:val="Table Contents"/>
    <w:basedOn w:val="678"/>
    <w:qFormat/>
    <w:pPr>
      <w:pBdr/>
      <w:spacing/>
      <w:ind/>
    </w:pPr>
  </w:style>
  <w:style w:type="paragraph" w:styleId="672">
    <w:name w:val="Footer"/>
    <w:basedOn w:val="664"/>
    <w:pPr>
      <w:suppressLineNumbers w:val="true"/>
      <w:pBdr/>
      <w:tabs>
        <w:tab w:val="clear" w:leader="none" w:pos="1134"/>
        <w:tab w:val="center" w:leader="none" w:pos="4818"/>
        <w:tab w:val="right" w:leader="none" w:pos="9637"/>
      </w:tabs>
      <w:spacing/>
      <w:ind/>
    </w:pPr>
  </w:style>
  <w:style w:type="paragraph" w:styleId="673">
    <w:name w:val="Header"/>
    <w:basedOn w:val="664"/>
    <w:pPr>
      <w:suppressLineNumbers w:val="true"/>
      <w:pBdr/>
      <w:tabs>
        <w:tab w:val="clear" w:leader="none" w:pos="1134"/>
        <w:tab w:val="center" w:leader="none" w:pos="4818"/>
        <w:tab w:val="right" w:leader="none" w:pos="9637"/>
      </w:tabs>
      <w:spacing/>
      <w:ind/>
    </w:pPr>
  </w:style>
  <w:style w:type="paragraph" w:styleId="674">
    <w:name w:val="Header and Footer"/>
    <w:basedOn w:val="664"/>
    <w:qFormat/>
    <w:pPr>
      <w:suppressLineNumbers w:val="true"/>
      <w:pBdr/>
      <w:tabs>
        <w:tab w:val="clear" w:leader="none" w:pos="1134"/>
        <w:tab w:val="center" w:leader="none" w:pos="4819"/>
        <w:tab w:val="right" w:leader="none" w:pos="9638"/>
      </w:tabs>
      <w:spacing/>
      <w:ind/>
    </w:pPr>
  </w:style>
  <w:style w:type="paragraph" w:styleId="675">
    <w:name w:val="Index"/>
    <w:basedOn w:val="664"/>
    <w:qFormat/>
    <w:pPr>
      <w:suppressLineNumbers w:val="true"/>
      <w:pBdr/>
      <w:spacing/>
      <w:ind/>
    </w:pPr>
    <w:rPr>
      <w:rFonts w:cs="Noto Sans Devanagari"/>
    </w:rPr>
  </w:style>
  <w:style w:type="paragraph" w:styleId="676">
    <w:name w:val="Caption"/>
    <w:basedOn w:val="664"/>
    <w:qFormat/>
    <w:pPr>
      <w:suppressLineNumbers w:val="true"/>
      <w:pBdr/>
      <w:spacing w:after="120" w:before="120"/>
      <w:ind/>
    </w:pPr>
    <w:rPr>
      <w:rFonts w:cs="Noto Sans Devanagari"/>
      <w:i/>
      <w:iCs/>
      <w:sz w:val="24"/>
      <w:szCs w:val="24"/>
    </w:rPr>
  </w:style>
  <w:style w:type="paragraph" w:styleId="677">
    <w:name w:val="List"/>
    <w:basedOn w:val="678"/>
    <w:pPr>
      <w:pBdr/>
      <w:spacing/>
      <w:ind/>
    </w:pPr>
    <w:rPr>
      <w:rFonts w:cs="Noto Sans Devanagari"/>
    </w:rPr>
  </w:style>
  <w:style w:type="paragraph" w:styleId="678">
    <w:name w:val="Body Text"/>
    <w:basedOn w:val="664"/>
    <w:pPr>
      <w:pBdr/>
      <w:spacing w:after="283" w:before="0"/>
      <w:ind/>
    </w:pPr>
  </w:style>
  <w:style w:type="paragraph" w:styleId="679">
    <w:name w:val="Heading"/>
    <w:basedOn w:val="664"/>
    <w:next w:val="678"/>
    <w:qFormat/>
    <w:pPr>
      <w:keepNext w:val="true"/>
      <w:pBdr/>
      <w:spacing w:after="283" w:before="240"/>
      <w:ind/>
    </w:pPr>
    <w:rPr>
      <w:rFonts w:ascii="Liberation Sans" w:hAnsi="Liberation Sans"/>
      <w:sz w:val="28"/>
      <w:szCs w:val="28"/>
    </w:rPr>
  </w:style>
  <w:style w:type="paragraph" w:styleId="680">
    <w:name w:val="Table Heading"/>
    <w:basedOn w:val="671"/>
    <w:qFormat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en-US</dc:language>
  <cp:revision>1</cp:revision>
  <dcterms:modified xsi:type="dcterms:W3CDTF">2026-10-18T21:08:24Z</dcterms:modified>
</cp:coreProperties>
</file>