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user"/>
        <w:numPr>
          <w:ilvl w:val="0"/>
          <w:numId w:val="1"/>
        </w:numPr>
        <w:spacing w:before="240" w:after="120"/>
        <w:outlineLvl w:val="0"/>
        <w:rPr/>
      </w:pPr>
      <w:bookmarkStart w:id="0" w:name="anchor0"/>
      <w:bookmarkEnd w:id="0"/>
      <w:r>
        <w:rPr/>
        <w:t>Постановление Администрации Ненецкого автономного округа от 6 июля 2026 г. N 233-п "О внесении изменений в Порядок предоставления субсидий общественным объединениям пожарной охраны на территории Ненецкого автономного округа и признании утратившим силу постановления Администрации Ненецкого автономного округа от 31.10.2014 N 425-п"</w:t>
      </w:r>
    </w:p>
    <w:p>
      <w:pPr>
        <w:pStyle w:val="Style15"/>
        <w:rPr/>
      </w:pPr>
      <w:r>
        <w:rPr/>
      </w:r>
    </w:p>
    <w:p>
      <w:pPr>
        <w:pStyle w:val="Style15"/>
        <w:rPr/>
      </w:pPr>
      <w:r>
        <w:rPr/>
        <w:t xml:space="preserve">В соответствии со </w:t>
      </w:r>
      <w:hyperlink r:id="rId2">
        <w:r>
          <w:rPr>
            <w:rStyle w:val="Hyperlink"/>
          </w:rPr>
          <w:t>статьей 30</w:t>
        </w:r>
      </w:hyperlink>
      <w:r>
        <w:rPr/>
        <w:t xml:space="preserve"> закона Ненецкого автономного округа от 03.02.2006 N 673-оз "О нормативных правовых актах Ненецкого автономного округа" Администрация Ненецкого автономного округа постановляет:</w:t>
      </w:r>
    </w:p>
    <w:p>
      <w:pPr>
        <w:pStyle w:val="Style15"/>
        <w:rPr/>
      </w:pPr>
      <w:bookmarkStart w:id="1" w:name="anchor1"/>
      <w:bookmarkEnd w:id="1"/>
      <w:r>
        <w:rPr/>
        <w:t xml:space="preserve">1. Внести изменения в </w:t>
      </w:r>
      <w:hyperlink r:id="rId3">
        <w:r>
          <w:rPr>
            <w:rStyle w:val="Hyperlink"/>
          </w:rPr>
          <w:t>Порядок</w:t>
        </w:r>
      </w:hyperlink>
      <w:r>
        <w:rPr/>
        <w:t xml:space="preserve"> предоставления субсидий общественным объединениям пожарной охраны на территории Ненецкого автономного округа, утвержденный </w:t>
      </w:r>
      <w:hyperlink r:id="rId4">
        <w:r>
          <w:rPr>
            <w:rStyle w:val="Hyperlink"/>
          </w:rPr>
          <w:t>постановлением</w:t>
        </w:r>
      </w:hyperlink>
      <w:r>
        <w:rPr/>
        <w:t xml:space="preserve"> Администрации Ненецкого автономного округа от 19.12.2023 N 355-п (с изменениями, внесенными </w:t>
      </w:r>
      <w:hyperlink r:id="rId5">
        <w:r>
          <w:rPr>
            <w:rStyle w:val="Hyperlink"/>
          </w:rPr>
          <w:t>постановлением</w:t>
        </w:r>
      </w:hyperlink>
      <w:r>
        <w:rPr/>
        <w:t xml:space="preserve"> Администрации Ненецкого автономного округа от 31.03.2025 N 79-п), согласно </w:t>
      </w:r>
      <w:hyperlink w:anchor="anchor1000">
        <w:r>
          <w:rPr>
            <w:rStyle w:val="Hyperlink"/>
          </w:rPr>
          <w:t>Приложению</w:t>
        </w:r>
      </w:hyperlink>
      <w:r>
        <w:rPr/>
        <w:t>.</w:t>
      </w:r>
    </w:p>
    <w:p>
      <w:pPr>
        <w:pStyle w:val="Style15"/>
        <w:rPr/>
      </w:pPr>
      <w:bookmarkStart w:id="2" w:name="anchor2"/>
      <w:bookmarkEnd w:id="2"/>
      <w:r>
        <w:rPr/>
        <w:t xml:space="preserve">2. Признать утратившим силу </w:t>
      </w:r>
      <w:hyperlink r:id="rId6">
        <w:r>
          <w:rPr>
            <w:rStyle w:val="Hyperlink"/>
          </w:rPr>
          <w:t>постановление</w:t>
        </w:r>
      </w:hyperlink>
      <w:r>
        <w:rPr/>
        <w:t xml:space="preserve"> Администрации Ненецкого автономного округа от 31.10.2014 N 425-п "Об утверждении Порядка личного страхования работников добровольной пожарной охраны и добровольных пожарных в Ненецком автономном округе".</w:t>
      </w:r>
    </w:p>
    <w:p>
      <w:pPr>
        <w:pStyle w:val="Style15"/>
        <w:rPr/>
      </w:pPr>
      <w:bookmarkStart w:id="3" w:name="anchor3"/>
      <w:bookmarkEnd w:id="3"/>
      <w:r>
        <w:rPr/>
        <w:t xml:space="preserve">3. Настоящее постановление вступает в силу со дня его </w:t>
      </w:r>
      <w:hyperlink r:id="rId7">
        <w:r>
          <w:rPr>
            <w:rStyle w:val="Hyperlink"/>
          </w:rPr>
          <w:t>официального опубликования</w:t>
        </w:r>
      </w:hyperlink>
      <w:r>
        <w:rPr/>
        <w:t xml:space="preserve"> и распространяет свое действие на правоотношения, возникшие с 1 января 2026 года.</w:t>
      </w:r>
    </w:p>
    <w:p>
      <w:pPr>
        <w:pStyle w:val="Style15"/>
        <w:rPr/>
      </w:pPr>
      <w:r>
        <w:rPr/>
      </w:r>
    </w:p>
    <w:tbl>
      <w:tblPr>
        <w:tblW w:w="10205" w:type="dxa"/>
        <w:jc w:val="left"/>
        <w:tblInd w:w="0" w:type="dxa"/>
        <w:tblLayout w:type="fixed"/>
        <w:tblCellMar>
          <w:top w:w="0" w:type="dxa"/>
          <w:left w:w="0" w:type="dxa"/>
          <w:bottom w:w="0" w:type="dxa"/>
          <w:right w:w="0" w:type="dxa"/>
        </w:tblCellMar>
      </w:tblPr>
      <w:tblGrid>
        <w:gridCol w:w="6803"/>
        <w:gridCol w:w="3402"/>
      </w:tblGrid>
      <w:tr>
        <w:trPr/>
        <w:tc>
          <w:tcPr>
            <w:tcW w:w="6803" w:type="dxa"/>
            <w:tcBorders/>
          </w:tcPr>
          <w:p>
            <w:pPr>
              <w:pStyle w:val="Style18"/>
              <w:ind w:hanging="0"/>
              <w:rPr/>
            </w:pPr>
            <w:r>
              <w:rPr/>
              <w:t>Исполняющий обязанности губернатора Ненецкого автономного округа</w:t>
            </w:r>
          </w:p>
        </w:tc>
        <w:tc>
          <w:tcPr>
            <w:tcW w:w="3402" w:type="dxa"/>
            <w:tcBorders/>
          </w:tcPr>
          <w:p>
            <w:pPr>
              <w:pStyle w:val="Style15"/>
              <w:ind w:hanging="0"/>
              <w:jc w:val="right"/>
              <w:rPr/>
            </w:pPr>
            <w:r>
              <w:rPr/>
              <w:t>Н.А. Сидорова</w:t>
            </w:r>
          </w:p>
        </w:tc>
      </w:tr>
    </w:tbl>
    <w:p>
      <w:pPr>
        <w:pStyle w:val="Style15"/>
        <w:rPr/>
      </w:pPr>
      <w:r>
        <w:rPr/>
      </w:r>
    </w:p>
    <w:p>
      <w:pPr>
        <w:pStyle w:val="Normal"/>
        <w:rPr/>
      </w:pPr>
      <w:bookmarkStart w:id="4" w:name="anchor1000"/>
      <w:bookmarkEnd w:id="4"/>
      <w:r>
        <w:rPr/>
        <w:t xml:space="preserve">Приложение к </w:t>
      </w:r>
      <w:hyperlink w:anchor="anchor0">
        <w:r>
          <w:rPr>
            <w:rStyle w:val="Hyperlink"/>
          </w:rPr>
          <w:t>постановлению</w:t>
        </w:r>
      </w:hyperlink>
      <w:r>
        <w:rPr/>
        <w:t xml:space="preserve"> Администрации Ненецкого автономного округа от 06.07.2026 N 233-п "О внесении изменений в Порядок предоставления субсидий общественным объединениям пожарной охраны на территории Ненецкого автономного округа и признании утратившим силу постановления Администрации Ненецкого автономного округа от 31.10.2014 N 425-п"</w:t>
      </w:r>
    </w:p>
    <w:p>
      <w:pPr>
        <w:pStyle w:val="Style15"/>
        <w:rPr/>
      </w:pPr>
      <w:r>
        <w:rPr/>
      </w:r>
    </w:p>
    <w:p>
      <w:pPr>
        <w:pStyle w:val="1user"/>
        <w:numPr>
          <w:ilvl w:val="0"/>
          <w:numId w:val="1"/>
        </w:numPr>
        <w:outlineLvl w:val="0"/>
        <w:rPr/>
      </w:pPr>
      <w:r>
        <w:rPr/>
        <w:t>Изменения в Порядок предоставления субсидий общественным объединениям пожарной охраны на территории Ненецкого автономного округа</w:t>
      </w:r>
    </w:p>
    <w:p>
      <w:pPr>
        <w:pStyle w:val="Style15"/>
        <w:rPr/>
      </w:pPr>
      <w:r>
        <w:rPr/>
      </w:r>
    </w:p>
    <w:p>
      <w:pPr>
        <w:pStyle w:val="Style15"/>
        <w:rPr/>
      </w:pPr>
      <w:bookmarkStart w:id="5" w:name="anchor1001"/>
      <w:bookmarkEnd w:id="5"/>
      <w:r>
        <w:rPr/>
        <w:t xml:space="preserve">1. В </w:t>
      </w:r>
      <w:hyperlink r:id="rId8">
        <w:r>
          <w:rPr>
            <w:rStyle w:val="Hyperlink"/>
          </w:rPr>
          <w:t>пункте 2</w:t>
        </w:r>
      </w:hyperlink>
      <w:r>
        <w:rPr/>
        <w:t xml:space="preserve"> слова "Управлением гражданской защиты и обеспечения пожарной безопасности Ненецкого автономного округа (далее - Управление)" заменить словами "Департаментом общественной безопасности Ненецкого автономного округа (далее - Департамент)".</w:t>
      </w:r>
    </w:p>
    <w:p>
      <w:pPr>
        <w:pStyle w:val="Style15"/>
        <w:rPr/>
      </w:pPr>
      <w:bookmarkStart w:id="6" w:name="anchor1002"/>
      <w:bookmarkEnd w:id="6"/>
      <w:r>
        <w:rPr/>
        <w:t>2. </w:t>
      </w:r>
      <w:hyperlink r:id="rId9">
        <w:r>
          <w:rPr>
            <w:rStyle w:val="Hyperlink"/>
          </w:rPr>
          <w:t>Пункт 5</w:t>
        </w:r>
      </w:hyperlink>
      <w:r>
        <w:rPr/>
        <w:t xml:space="preserve"> дополнить словами ", в течение 10 рабочих дней со дня, следующего за днем доведения бюджетных ассигнований на предоставление субсидии до Департамента".</w:t>
      </w:r>
    </w:p>
    <w:p>
      <w:pPr>
        <w:pStyle w:val="Style15"/>
        <w:rPr/>
      </w:pPr>
      <w:bookmarkStart w:id="7" w:name="anchor1003"/>
      <w:bookmarkEnd w:id="7"/>
      <w:r>
        <w:rPr/>
        <w:t xml:space="preserve">3. В </w:t>
      </w:r>
      <w:hyperlink r:id="rId10">
        <w:r>
          <w:rPr>
            <w:rStyle w:val="Hyperlink"/>
          </w:rPr>
          <w:t>абзаце первом пункта 8</w:t>
        </w:r>
      </w:hyperlink>
      <w:r>
        <w:rPr/>
        <w:t xml:space="preserve"> слово "Управлением" заменить словом "Департаментом".</w:t>
      </w:r>
    </w:p>
    <w:p>
      <w:pPr>
        <w:pStyle w:val="Style15"/>
        <w:rPr/>
      </w:pPr>
      <w:bookmarkStart w:id="8" w:name="anchor1004"/>
      <w:bookmarkEnd w:id="8"/>
      <w:r>
        <w:rPr/>
        <w:t xml:space="preserve">4. В </w:t>
      </w:r>
      <w:hyperlink r:id="rId11">
        <w:r>
          <w:rPr>
            <w:rStyle w:val="Hyperlink"/>
          </w:rPr>
          <w:t>пункте 9</w:t>
        </w:r>
      </w:hyperlink>
      <w:r>
        <w:rPr/>
        <w:t xml:space="preserve"> слово "Управление" заменить словом "Департамент".</w:t>
      </w:r>
    </w:p>
    <w:p>
      <w:pPr>
        <w:pStyle w:val="Style15"/>
        <w:rPr/>
      </w:pPr>
      <w:bookmarkStart w:id="9" w:name="anchor1005"/>
      <w:bookmarkEnd w:id="9"/>
      <w:r>
        <w:rPr/>
        <w:t>5. </w:t>
      </w:r>
      <w:hyperlink r:id="rId12">
        <w:r>
          <w:rPr>
            <w:rStyle w:val="Hyperlink"/>
          </w:rPr>
          <w:t>Пункт 10</w:t>
        </w:r>
      </w:hyperlink>
      <w:r>
        <w:rPr/>
        <w:t xml:space="preserve"> изложить в следующей редакции:</w:t>
      </w:r>
    </w:p>
    <w:p>
      <w:pPr>
        <w:pStyle w:val="Style15"/>
        <w:rPr/>
      </w:pPr>
      <w:r>
        <w:rPr/>
        <w:t>"10. Отбор получателей субсидий объявляется Департаментом на едином портале в сроки, указанные в распоряжении о проведении отбора.</w:t>
      </w:r>
    </w:p>
    <w:p>
      <w:pPr>
        <w:pStyle w:val="Style15"/>
        <w:rPr/>
      </w:pPr>
      <w:r>
        <w:rPr/>
        <w:t>Обеспечение доступа к государственной интегрированной информационной системе управления общественными финансами "Электронный бюджет" (далее - ГИИС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Style15"/>
        <w:rPr/>
      </w:pPr>
      <w:bookmarkStart w:id="10" w:name="anchor1006"/>
      <w:bookmarkEnd w:id="10"/>
      <w:r>
        <w:rPr/>
        <w:t xml:space="preserve">6. В </w:t>
      </w:r>
      <w:hyperlink r:id="rId13">
        <w:r>
          <w:rPr>
            <w:rStyle w:val="Hyperlink"/>
          </w:rPr>
          <w:t>пункте 11</w:t>
        </w:r>
      </w:hyperlink>
      <w:r>
        <w:rPr/>
        <w:t xml:space="preserve">, </w:t>
      </w:r>
      <w:hyperlink r:id="rId14">
        <w:r>
          <w:rPr>
            <w:rStyle w:val="Hyperlink"/>
          </w:rPr>
          <w:t>абзаце первом пункта 12</w:t>
        </w:r>
      </w:hyperlink>
      <w:r>
        <w:rPr/>
        <w:t xml:space="preserve"> слово "Управление" в соответствующем падеже заменить словом "Департамент" в соответствующем падеже.</w:t>
      </w:r>
    </w:p>
    <w:p>
      <w:pPr>
        <w:pStyle w:val="Style15"/>
        <w:rPr/>
      </w:pPr>
      <w:bookmarkStart w:id="11" w:name="anchor1007"/>
      <w:bookmarkEnd w:id="11"/>
      <w:r>
        <w:rPr/>
        <w:t xml:space="preserve">7. В </w:t>
      </w:r>
      <w:hyperlink r:id="rId15">
        <w:r>
          <w:rPr>
            <w:rStyle w:val="Hyperlink"/>
          </w:rPr>
          <w:t>пункте 13</w:t>
        </w:r>
      </w:hyperlink>
      <w:r>
        <w:rPr/>
        <w:t>:</w:t>
      </w:r>
    </w:p>
    <w:p>
      <w:pPr>
        <w:pStyle w:val="Style15"/>
        <w:rPr/>
      </w:pPr>
      <w:bookmarkStart w:id="12" w:name="anchor1071"/>
      <w:bookmarkEnd w:id="12"/>
      <w:r>
        <w:rPr/>
        <w:t xml:space="preserve">1) в </w:t>
      </w:r>
      <w:hyperlink r:id="rId16">
        <w:r>
          <w:rPr>
            <w:rStyle w:val="Hyperlink"/>
          </w:rPr>
          <w:t>абзаце первом</w:t>
        </w:r>
      </w:hyperlink>
      <w:r>
        <w:rPr/>
        <w:t xml:space="preserve"> слово "Управление" заменить словом "Департамент", слова "государственной интегрированной информационной системе управления общественными финансами "Электронный бюджет" (далее - ГИИС "Электронный бюджет")" заменить словами "ГИИС "Электронный бюджет";</w:t>
      </w:r>
    </w:p>
    <w:p>
      <w:pPr>
        <w:pStyle w:val="Style15"/>
        <w:rPr/>
      </w:pPr>
      <w:bookmarkStart w:id="13" w:name="anchor1072"/>
      <w:bookmarkEnd w:id="13"/>
      <w:r>
        <w:rPr/>
        <w:t xml:space="preserve">2) в </w:t>
      </w:r>
      <w:hyperlink r:id="rId17">
        <w:r>
          <w:rPr>
            <w:rStyle w:val="Hyperlink"/>
          </w:rPr>
          <w:t>подпункте 2</w:t>
        </w:r>
      </w:hyperlink>
      <w:r>
        <w:rPr/>
        <w:t xml:space="preserve"> после слов "проведения отбора" дополнить словами ", информацию о проведении нескольких этапов отбора с указанием сроков и порядок их проведения";</w:t>
      </w:r>
    </w:p>
    <w:p>
      <w:pPr>
        <w:pStyle w:val="Style15"/>
        <w:rPr/>
      </w:pPr>
      <w:bookmarkStart w:id="14" w:name="anchor1073"/>
      <w:bookmarkEnd w:id="14"/>
      <w:r>
        <w:rPr/>
        <w:t xml:space="preserve">3) в </w:t>
      </w:r>
      <w:hyperlink r:id="rId18">
        <w:r>
          <w:rPr>
            <w:rStyle w:val="Hyperlink"/>
          </w:rPr>
          <w:t>подпункте 4</w:t>
        </w:r>
      </w:hyperlink>
      <w:r>
        <w:rPr/>
        <w:t xml:space="preserve"> слово "Управления" заменить словом "Департамента".</w:t>
      </w:r>
    </w:p>
    <w:p>
      <w:pPr>
        <w:pStyle w:val="Style15"/>
        <w:rPr/>
      </w:pPr>
      <w:bookmarkStart w:id="15" w:name="anchor1008"/>
      <w:bookmarkEnd w:id="15"/>
      <w:r>
        <w:rPr/>
        <w:t xml:space="preserve">8. В </w:t>
      </w:r>
      <w:hyperlink r:id="rId19">
        <w:r>
          <w:rPr>
            <w:rStyle w:val="Hyperlink"/>
          </w:rPr>
          <w:t>подпункте 2 пункта 13.1</w:t>
        </w:r>
      </w:hyperlink>
      <w:r>
        <w:rPr/>
        <w:t xml:space="preserve"> слово "опускается" заменить словом "допускается".</w:t>
      </w:r>
    </w:p>
    <w:p>
      <w:pPr>
        <w:pStyle w:val="Style15"/>
        <w:rPr/>
      </w:pPr>
      <w:bookmarkStart w:id="16" w:name="anchor1009"/>
      <w:bookmarkEnd w:id="16"/>
      <w:r>
        <w:rPr/>
        <w:t xml:space="preserve">9. В </w:t>
      </w:r>
      <w:hyperlink r:id="rId20">
        <w:r>
          <w:rPr>
            <w:rStyle w:val="Hyperlink"/>
          </w:rPr>
          <w:t>пункте 13.2</w:t>
        </w:r>
      </w:hyperlink>
      <w:r>
        <w:rPr/>
        <w:t>:</w:t>
      </w:r>
    </w:p>
    <w:p>
      <w:pPr>
        <w:pStyle w:val="Style15"/>
        <w:rPr/>
      </w:pPr>
      <w:bookmarkStart w:id="17" w:name="anchor1091"/>
      <w:bookmarkEnd w:id="17"/>
      <w:r>
        <w:rPr/>
        <w:t xml:space="preserve">1) в </w:t>
      </w:r>
      <w:hyperlink r:id="rId21">
        <w:r>
          <w:rPr>
            <w:rStyle w:val="Hyperlink"/>
          </w:rPr>
          <w:t>абзаце первом</w:t>
        </w:r>
      </w:hyperlink>
      <w:r>
        <w:rPr/>
        <w:t xml:space="preserve"> слово "Управления" заменить словом "Департамента";</w:t>
      </w:r>
    </w:p>
    <w:p>
      <w:pPr>
        <w:pStyle w:val="Style15"/>
        <w:rPr/>
      </w:pPr>
      <w:bookmarkStart w:id="18" w:name="anchor1092"/>
      <w:bookmarkEnd w:id="18"/>
      <w:r>
        <w:rPr/>
        <w:t xml:space="preserve">2) в </w:t>
      </w:r>
      <w:hyperlink r:id="rId22">
        <w:r>
          <w:rPr>
            <w:rStyle w:val="Hyperlink"/>
          </w:rPr>
          <w:t>абзаце втором</w:t>
        </w:r>
      </w:hyperlink>
      <w:r>
        <w:rPr/>
        <w:t xml:space="preserve"> слова "Управления (уполномоченным лицом)" заменить словами "Департамента (уполномоченного им лица)".</w:t>
      </w:r>
    </w:p>
    <w:p>
      <w:pPr>
        <w:pStyle w:val="Style15"/>
        <w:rPr/>
      </w:pPr>
      <w:bookmarkStart w:id="19" w:name="anchor1010"/>
      <w:bookmarkEnd w:id="19"/>
      <w:r>
        <w:rPr/>
        <w:t xml:space="preserve">10. В </w:t>
      </w:r>
      <w:hyperlink r:id="rId23">
        <w:r>
          <w:rPr>
            <w:rStyle w:val="Hyperlink"/>
          </w:rPr>
          <w:t>абзаце первом пункта 14</w:t>
        </w:r>
      </w:hyperlink>
      <w:r>
        <w:rPr/>
        <w:t xml:space="preserve"> слово "Управление" заменить словом "Департамент".</w:t>
      </w:r>
    </w:p>
    <w:p>
      <w:pPr>
        <w:pStyle w:val="Style15"/>
        <w:rPr/>
      </w:pPr>
      <w:bookmarkStart w:id="20" w:name="anchor1011"/>
      <w:bookmarkEnd w:id="20"/>
      <w:r>
        <w:rPr/>
        <w:t xml:space="preserve">11. В </w:t>
      </w:r>
      <w:hyperlink r:id="rId24">
        <w:r>
          <w:rPr>
            <w:rStyle w:val="Hyperlink"/>
          </w:rPr>
          <w:t>пункте 15</w:t>
        </w:r>
      </w:hyperlink>
      <w:r>
        <w:rPr/>
        <w:t>:</w:t>
      </w:r>
    </w:p>
    <w:p>
      <w:pPr>
        <w:pStyle w:val="Style15"/>
        <w:rPr/>
      </w:pPr>
      <w:bookmarkStart w:id="21" w:name="anchor1111"/>
      <w:bookmarkEnd w:id="21"/>
      <w:r>
        <w:rPr/>
        <w:t xml:space="preserve">1) в </w:t>
      </w:r>
      <w:hyperlink r:id="rId25">
        <w:r>
          <w:rPr>
            <w:rStyle w:val="Hyperlink"/>
          </w:rPr>
          <w:t>абзаце первом</w:t>
        </w:r>
      </w:hyperlink>
      <w:r>
        <w:rPr/>
        <w:t xml:space="preserve"> слово "Управление" заменить словом "Департамент";</w:t>
      </w:r>
    </w:p>
    <w:p>
      <w:pPr>
        <w:pStyle w:val="Style15"/>
        <w:rPr/>
      </w:pPr>
      <w:bookmarkStart w:id="22" w:name="anchor1112"/>
      <w:bookmarkEnd w:id="22"/>
      <w:r>
        <w:rPr/>
        <w:t xml:space="preserve">2) </w:t>
      </w:r>
      <w:hyperlink r:id="rId26">
        <w:r>
          <w:rPr>
            <w:rStyle w:val="Hyperlink"/>
          </w:rPr>
          <w:t>абзац третий подпункта 3</w:t>
        </w:r>
      </w:hyperlink>
      <w:r>
        <w:rPr/>
        <w:t xml:space="preserve"> после слов "пожарных дружин и" дополнить словом "(или)";</w:t>
      </w:r>
    </w:p>
    <w:p>
      <w:pPr>
        <w:pStyle w:val="Style15"/>
        <w:rPr/>
      </w:pPr>
      <w:bookmarkStart w:id="23" w:name="anchor1113"/>
      <w:bookmarkEnd w:id="23"/>
      <w:r>
        <w:rPr/>
        <w:t xml:space="preserve">3) в </w:t>
      </w:r>
      <w:hyperlink r:id="rId27">
        <w:r>
          <w:rPr>
            <w:rStyle w:val="Hyperlink"/>
          </w:rPr>
          <w:t>подпункте 5</w:t>
        </w:r>
      </w:hyperlink>
      <w:r>
        <w:rPr/>
        <w:t xml:space="preserve"> слово "Управлению" заменить словом "Департаменту".</w:t>
      </w:r>
    </w:p>
    <w:p>
      <w:pPr>
        <w:pStyle w:val="Style15"/>
        <w:rPr/>
      </w:pPr>
      <w:bookmarkStart w:id="24" w:name="anchor1012"/>
      <w:bookmarkEnd w:id="24"/>
      <w:r>
        <w:rPr/>
        <w:t xml:space="preserve">12. В </w:t>
      </w:r>
      <w:hyperlink r:id="rId28">
        <w:r>
          <w:rPr>
            <w:rStyle w:val="Hyperlink"/>
          </w:rPr>
          <w:t>абзаце втором пункта 15.1</w:t>
        </w:r>
      </w:hyperlink>
      <w:r>
        <w:rPr/>
        <w:t xml:space="preserve"> слова "справок, подписанных участником отбора" заменить словом "документов".</w:t>
      </w:r>
    </w:p>
    <w:p>
      <w:pPr>
        <w:pStyle w:val="Style15"/>
        <w:rPr/>
      </w:pPr>
      <w:bookmarkStart w:id="25" w:name="anchor1013"/>
      <w:bookmarkEnd w:id="25"/>
      <w:r>
        <w:rPr/>
        <w:t xml:space="preserve">13. В </w:t>
      </w:r>
      <w:hyperlink r:id="rId29">
        <w:r>
          <w:rPr>
            <w:rStyle w:val="Hyperlink"/>
          </w:rPr>
          <w:t>пункте 16</w:t>
        </w:r>
      </w:hyperlink>
      <w:r>
        <w:rPr/>
        <w:t xml:space="preserve"> слово "Управление" в соответствующем падеже заменить словом "Департамент" в соответствующем падеже.</w:t>
      </w:r>
    </w:p>
    <w:p>
      <w:pPr>
        <w:pStyle w:val="Style15"/>
        <w:rPr/>
      </w:pPr>
      <w:bookmarkStart w:id="26" w:name="anchor1014"/>
      <w:bookmarkEnd w:id="26"/>
      <w:r>
        <w:rPr/>
        <w:t xml:space="preserve">14. В </w:t>
      </w:r>
      <w:hyperlink r:id="rId30">
        <w:r>
          <w:rPr>
            <w:rStyle w:val="Hyperlink"/>
          </w:rPr>
          <w:t>пункте 22</w:t>
        </w:r>
      </w:hyperlink>
      <w:r>
        <w:rPr/>
        <w:t xml:space="preserve"> слово "подписания" заменить словом "направления".</w:t>
      </w:r>
    </w:p>
    <w:p>
      <w:pPr>
        <w:pStyle w:val="Style15"/>
        <w:rPr/>
      </w:pPr>
      <w:bookmarkStart w:id="27" w:name="anchor1015"/>
      <w:bookmarkEnd w:id="27"/>
      <w:r>
        <w:rPr/>
        <w:t xml:space="preserve">15. В </w:t>
      </w:r>
      <w:hyperlink r:id="rId31">
        <w:r>
          <w:rPr>
            <w:rStyle w:val="Hyperlink"/>
          </w:rPr>
          <w:t>пункте 26</w:t>
        </w:r>
      </w:hyperlink>
      <w:r>
        <w:rPr/>
        <w:t xml:space="preserve"> слово "направления" заменить словами "заполнения соответствующих экранных форм веб-интерфейса".</w:t>
      </w:r>
    </w:p>
    <w:p>
      <w:pPr>
        <w:pStyle w:val="Style15"/>
        <w:rPr/>
      </w:pPr>
      <w:bookmarkStart w:id="28" w:name="anchor1016"/>
      <w:bookmarkEnd w:id="28"/>
      <w:r>
        <w:rPr/>
        <w:t xml:space="preserve">16. В </w:t>
      </w:r>
      <w:hyperlink r:id="rId32">
        <w:r>
          <w:rPr>
            <w:rStyle w:val="Hyperlink"/>
          </w:rPr>
          <w:t>пунктах 30</w:t>
        </w:r>
      </w:hyperlink>
      <w:r>
        <w:rPr/>
        <w:t xml:space="preserve">, </w:t>
      </w:r>
      <w:hyperlink r:id="rId33">
        <w:r>
          <w:rPr>
            <w:rStyle w:val="Hyperlink"/>
          </w:rPr>
          <w:t>31</w:t>
        </w:r>
      </w:hyperlink>
      <w:r>
        <w:rPr/>
        <w:t xml:space="preserve">, </w:t>
      </w:r>
      <w:hyperlink r:id="rId34">
        <w:r>
          <w:rPr>
            <w:rStyle w:val="Hyperlink"/>
          </w:rPr>
          <w:t>32</w:t>
        </w:r>
      </w:hyperlink>
      <w:r>
        <w:rPr/>
        <w:t xml:space="preserve">, в </w:t>
      </w:r>
      <w:hyperlink r:id="rId35">
        <w:r>
          <w:rPr>
            <w:rStyle w:val="Hyperlink"/>
          </w:rPr>
          <w:t>абзацах первом</w:t>
        </w:r>
      </w:hyperlink>
      <w:r>
        <w:rPr/>
        <w:t xml:space="preserve"> и </w:t>
      </w:r>
      <w:hyperlink r:id="rId36">
        <w:r>
          <w:rPr>
            <w:rStyle w:val="Hyperlink"/>
          </w:rPr>
          <w:t>втором пункта 33</w:t>
        </w:r>
      </w:hyperlink>
      <w:r>
        <w:rPr/>
        <w:t xml:space="preserve"> слово "Управление" в соответствующем падеже заменить словом "Департамент" в соответствующем падеже.</w:t>
      </w:r>
    </w:p>
    <w:p>
      <w:pPr>
        <w:pStyle w:val="Style15"/>
        <w:rPr/>
      </w:pPr>
      <w:bookmarkStart w:id="29" w:name="anchor1017"/>
      <w:bookmarkEnd w:id="29"/>
      <w:r>
        <w:rPr/>
        <w:t>17. </w:t>
      </w:r>
      <w:hyperlink r:id="rId37">
        <w:r>
          <w:rPr>
            <w:rStyle w:val="Hyperlink"/>
          </w:rPr>
          <w:t>Пункт 34</w:t>
        </w:r>
      </w:hyperlink>
      <w:r>
        <w:rPr/>
        <w:t xml:space="preserve"> изложить в следующей редакции:</w:t>
      </w:r>
    </w:p>
    <w:p>
      <w:pPr>
        <w:pStyle w:val="Style15"/>
        <w:rPr/>
      </w:pPr>
      <w:r>
        <w:rPr/>
        <w:t>"34. Отбор проводится в два этапа.</w:t>
      </w:r>
    </w:p>
    <w:p>
      <w:pPr>
        <w:pStyle w:val="Style15"/>
        <w:rPr/>
      </w:pPr>
      <w:r>
        <w:rPr/>
        <w:t>На первом этапе отбора Департамент не позднее 10 рабочих дней, следующих за днем размещения протокола вскрытия заявок на едином портале, рассматривает заявки в порядке очередности их поступления на предмет соответствия установленным в объявлении требованиям.".</w:t>
      </w:r>
    </w:p>
    <w:p>
      <w:pPr>
        <w:pStyle w:val="Style15"/>
        <w:rPr/>
      </w:pPr>
      <w:bookmarkStart w:id="30" w:name="anchor1018"/>
      <w:bookmarkEnd w:id="30"/>
      <w:r>
        <w:rPr/>
        <w:t>18. </w:t>
      </w:r>
      <w:hyperlink r:id="rId38">
        <w:r>
          <w:rPr>
            <w:rStyle w:val="Hyperlink"/>
          </w:rPr>
          <w:t>Пункт 35</w:t>
        </w:r>
      </w:hyperlink>
      <w:r>
        <w:rPr/>
        <w:t xml:space="preserve"> изложить в следующей редакции:</w:t>
      </w:r>
    </w:p>
    <w:p>
      <w:pPr>
        <w:pStyle w:val="Style15"/>
        <w:rPr/>
      </w:pPr>
      <w:r>
        <w:rPr/>
        <w:t>"35. По итогам рассмотрения заявок Департамент не позднее 14 рабочих дней, следующих за днем размещения протокола вскрытия заявок на едином портале, допускает заявки ко второму этапу отбора либо принимает решение об отклонении заявки.".</w:t>
      </w:r>
    </w:p>
    <w:p>
      <w:pPr>
        <w:pStyle w:val="Style15"/>
        <w:rPr/>
      </w:pPr>
      <w:bookmarkStart w:id="31" w:name="anchor1019"/>
      <w:bookmarkEnd w:id="31"/>
      <w:r>
        <w:rPr/>
        <w:t>19. </w:t>
      </w:r>
      <w:hyperlink r:id="rId39">
        <w:r>
          <w:rPr>
            <w:rStyle w:val="Hyperlink"/>
          </w:rPr>
          <w:t>Пункт 37</w:t>
        </w:r>
      </w:hyperlink>
      <w:r>
        <w:rPr/>
        <w:t xml:space="preserve"> изложить в следующей редакции:</w:t>
      </w:r>
    </w:p>
    <w:p>
      <w:pPr>
        <w:pStyle w:val="Style15"/>
        <w:rPr/>
      </w:pPr>
      <w:r>
        <w:rPr/>
        <w:t>"37. На втором этапе отбора проводится оценка заявок конкурсной комиссией, порядок создания и деятельности которой установлены Положением о конкурсной комиссии по проведению отбора получателей субсидии согласно Приложению 2 к настоящему Порядку.".</w:t>
      </w:r>
    </w:p>
    <w:p>
      <w:pPr>
        <w:pStyle w:val="Style15"/>
        <w:rPr/>
      </w:pPr>
      <w:bookmarkStart w:id="32" w:name="anchor1020"/>
      <w:bookmarkEnd w:id="32"/>
      <w:r>
        <w:rPr/>
        <w:t>20. </w:t>
      </w:r>
      <w:hyperlink r:id="rId40">
        <w:r>
          <w:rPr>
            <w:rStyle w:val="Hyperlink"/>
          </w:rPr>
          <w:t>Таблицу</w:t>
        </w:r>
      </w:hyperlink>
      <w:r>
        <w:rPr/>
        <w:t xml:space="preserve"> в </w:t>
      </w:r>
      <w:hyperlink r:id="rId41">
        <w:r>
          <w:rPr>
            <w:rStyle w:val="Hyperlink"/>
          </w:rPr>
          <w:t>пункте 38</w:t>
        </w:r>
      </w:hyperlink>
      <w:r>
        <w:rPr/>
        <w:t xml:space="preserve"> изложить с следующей редакции:</w:t>
      </w:r>
    </w:p>
    <w:p>
      <w:pPr>
        <w:pStyle w:val="Style15"/>
        <w:rPr/>
      </w:pPr>
      <w:r>
        <w:rPr/>
      </w:r>
    </w:p>
    <w:p>
      <w:pPr>
        <w:pStyle w:val="Style15"/>
        <w:rPr/>
      </w:pPr>
      <w:r>
        <w:rPr/>
        <w:t>"</w:t>
      </w:r>
    </w:p>
    <w:tbl>
      <w:tblPr>
        <w:tblW w:w="10205" w:type="dxa"/>
        <w:jc w:val="left"/>
        <w:tblInd w:w="0" w:type="dxa"/>
        <w:tblLayout w:type="fixed"/>
        <w:tblCellMar>
          <w:top w:w="0" w:type="dxa"/>
          <w:left w:w="0" w:type="dxa"/>
          <w:bottom w:w="0" w:type="dxa"/>
          <w:right w:w="0" w:type="dxa"/>
        </w:tblCellMar>
      </w:tblPr>
      <w:tblGrid>
        <w:gridCol w:w="567"/>
        <w:gridCol w:w="7710"/>
        <w:gridCol w:w="964"/>
        <w:gridCol w:w="964"/>
      </w:tblGrid>
      <w:tr>
        <w:trPr/>
        <w:tc>
          <w:tcPr>
            <w:tcW w:w="567" w:type="dxa"/>
            <w:vMerge w:val="restart"/>
            <w:tcBorders>
              <w:top w:val="single" w:sz="2" w:space="0" w:color="000000"/>
              <w:left w:val="single" w:sz="2" w:space="0" w:color="000000"/>
              <w:bottom w:val="single" w:sz="2" w:space="0" w:color="000000"/>
              <w:right w:val="single" w:sz="2" w:space="0" w:color="000000"/>
            </w:tcBorders>
          </w:tcPr>
          <w:p>
            <w:pPr>
              <w:pStyle w:val="Style15"/>
              <w:ind w:hanging="0"/>
              <w:jc w:val="center"/>
              <w:rPr/>
            </w:pPr>
            <w:bookmarkStart w:id="33" w:name="anchor10381"/>
            <w:bookmarkEnd w:id="33"/>
            <w:r>
              <w:rPr/>
              <w:t>N п/п</w:t>
            </w:r>
          </w:p>
        </w:tc>
        <w:tc>
          <w:tcPr>
            <w:tcW w:w="7710" w:type="dxa"/>
            <w:vMerge w:val="restart"/>
            <w:tcBorders>
              <w:top w:val="single" w:sz="2" w:space="0" w:color="000000"/>
              <w:bottom w:val="single" w:sz="2" w:space="0" w:color="000000"/>
              <w:right w:val="single" w:sz="2" w:space="0" w:color="000000"/>
            </w:tcBorders>
          </w:tcPr>
          <w:p>
            <w:pPr>
              <w:pStyle w:val="Style15"/>
              <w:ind w:hanging="0"/>
              <w:jc w:val="center"/>
              <w:rPr/>
            </w:pPr>
            <w:r>
              <w:rPr/>
              <w:t>Наименование критерия оценки</w:t>
            </w:r>
          </w:p>
        </w:tc>
        <w:tc>
          <w:tcPr>
            <w:tcW w:w="1928" w:type="dxa"/>
            <w:gridSpan w:val="2"/>
            <w:tcBorders>
              <w:top w:val="single" w:sz="2" w:space="0" w:color="000000"/>
              <w:bottom w:val="single" w:sz="2" w:space="0" w:color="000000"/>
              <w:right w:val="single" w:sz="2" w:space="0" w:color="000000"/>
            </w:tcBorders>
          </w:tcPr>
          <w:p>
            <w:pPr>
              <w:pStyle w:val="Style15"/>
              <w:ind w:hanging="0"/>
              <w:jc w:val="center"/>
              <w:rPr/>
            </w:pPr>
            <w:r>
              <w:rPr/>
              <w:t>Оценка в баллах</w:t>
            </w:r>
          </w:p>
        </w:tc>
      </w:tr>
      <w:tr>
        <w:trPr/>
        <w:tc>
          <w:tcPr>
            <w:tcW w:w="567" w:type="dxa"/>
            <w:vMerge w:val="continue"/>
            <w:tcBorders>
              <w:top w:val="single" w:sz="2" w:space="0" w:color="000000"/>
              <w:left w:val="single" w:sz="2" w:space="0" w:color="000000"/>
              <w:bottom w:val="single" w:sz="2" w:space="0" w:color="000000"/>
              <w:right w:val="single" w:sz="2" w:space="0" w:color="000000"/>
            </w:tcBorders>
          </w:tcPr>
          <w:p>
            <w:pPr>
              <w:pStyle w:val="Normal"/>
              <w:rPr/>
            </w:pPr>
            <w:r>
              <w:rPr/>
            </w:r>
          </w:p>
        </w:tc>
        <w:tc>
          <w:tcPr>
            <w:tcW w:w="7710" w:type="dxa"/>
            <w:vMerge w:val="continue"/>
            <w:tcBorders>
              <w:top w:val="single" w:sz="2" w:space="0" w:color="000000"/>
              <w:bottom w:val="single" w:sz="2" w:space="0" w:color="000000"/>
              <w:right w:val="single" w:sz="2" w:space="0" w:color="000000"/>
            </w:tcBorders>
          </w:tcPr>
          <w:p>
            <w:pPr>
              <w:pStyle w:val="Normal"/>
              <w:rPr/>
            </w:pPr>
            <w:r>
              <w:rPr/>
            </w:r>
          </w:p>
        </w:tc>
        <w:tc>
          <w:tcPr>
            <w:tcW w:w="964" w:type="dxa"/>
            <w:tcBorders>
              <w:bottom w:val="single" w:sz="2" w:space="0" w:color="000000"/>
              <w:right w:val="single" w:sz="2" w:space="0" w:color="000000"/>
            </w:tcBorders>
          </w:tcPr>
          <w:p>
            <w:pPr>
              <w:pStyle w:val="Style15"/>
              <w:ind w:hanging="0"/>
              <w:jc w:val="center"/>
              <w:rPr/>
            </w:pPr>
            <w:r>
              <w:rPr/>
              <w:t>Да</w:t>
            </w:r>
          </w:p>
        </w:tc>
        <w:tc>
          <w:tcPr>
            <w:tcW w:w="964" w:type="dxa"/>
            <w:tcBorders>
              <w:bottom w:val="single" w:sz="2" w:space="0" w:color="000000"/>
              <w:right w:val="single" w:sz="2" w:space="0" w:color="000000"/>
            </w:tcBorders>
          </w:tcPr>
          <w:p>
            <w:pPr>
              <w:pStyle w:val="Style15"/>
              <w:ind w:hanging="0"/>
              <w:jc w:val="center"/>
              <w:rPr/>
            </w:pPr>
            <w:r>
              <w:rPr/>
              <w:t>Нет</w:t>
            </w:r>
          </w:p>
        </w:tc>
      </w:tr>
      <w:tr>
        <w:trPr/>
        <w:tc>
          <w:tcPr>
            <w:tcW w:w="567" w:type="dxa"/>
            <w:tcBorders>
              <w:left w:val="single" w:sz="2" w:space="0" w:color="000000"/>
              <w:bottom w:val="single" w:sz="2" w:space="0" w:color="000000"/>
              <w:right w:val="single" w:sz="2" w:space="0" w:color="000000"/>
            </w:tcBorders>
          </w:tcPr>
          <w:p>
            <w:pPr>
              <w:pStyle w:val="Style15"/>
              <w:ind w:hanging="0"/>
              <w:jc w:val="center"/>
              <w:rPr/>
            </w:pPr>
            <w:r>
              <w:rPr/>
              <w:t>1</w:t>
            </w:r>
          </w:p>
        </w:tc>
        <w:tc>
          <w:tcPr>
            <w:tcW w:w="7710" w:type="dxa"/>
            <w:tcBorders>
              <w:bottom w:val="single" w:sz="2" w:space="0" w:color="000000"/>
              <w:right w:val="single" w:sz="2" w:space="0" w:color="000000"/>
            </w:tcBorders>
          </w:tcPr>
          <w:p>
            <w:pPr>
              <w:pStyle w:val="Style15"/>
              <w:ind w:hanging="0"/>
              <w:jc w:val="center"/>
              <w:rPr/>
            </w:pPr>
            <w:r>
              <w:rPr/>
              <w:t>2</w:t>
            </w:r>
          </w:p>
        </w:tc>
        <w:tc>
          <w:tcPr>
            <w:tcW w:w="964" w:type="dxa"/>
            <w:tcBorders>
              <w:bottom w:val="single" w:sz="2" w:space="0" w:color="000000"/>
              <w:right w:val="single" w:sz="2" w:space="0" w:color="000000"/>
            </w:tcBorders>
          </w:tcPr>
          <w:p>
            <w:pPr>
              <w:pStyle w:val="Style15"/>
              <w:ind w:hanging="0"/>
              <w:jc w:val="center"/>
              <w:rPr/>
            </w:pPr>
            <w:r>
              <w:rPr/>
              <w:t>3</w:t>
            </w:r>
          </w:p>
        </w:tc>
        <w:tc>
          <w:tcPr>
            <w:tcW w:w="964" w:type="dxa"/>
            <w:tcBorders>
              <w:bottom w:val="single" w:sz="2" w:space="0" w:color="000000"/>
              <w:right w:val="single" w:sz="2" w:space="0" w:color="000000"/>
            </w:tcBorders>
          </w:tcPr>
          <w:p>
            <w:pPr>
              <w:pStyle w:val="Style15"/>
              <w:ind w:hanging="0"/>
              <w:jc w:val="center"/>
              <w:rPr/>
            </w:pPr>
            <w:r>
              <w:rPr/>
              <w:t>4</w:t>
            </w:r>
          </w:p>
        </w:tc>
      </w:tr>
      <w:tr>
        <w:trPr/>
        <w:tc>
          <w:tcPr>
            <w:tcW w:w="567" w:type="dxa"/>
            <w:tcBorders>
              <w:left w:val="single" w:sz="2" w:space="0" w:color="000000"/>
              <w:bottom w:val="single" w:sz="2" w:space="0" w:color="000000"/>
              <w:right w:val="single" w:sz="2" w:space="0" w:color="000000"/>
            </w:tcBorders>
          </w:tcPr>
          <w:p>
            <w:pPr>
              <w:pStyle w:val="Style15"/>
              <w:ind w:hanging="0"/>
              <w:jc w:val="center"/>
              <w:rPr/>
            </w:pPr>
            <w:r>
              <w:rPr/>
              <w:t>1.</w:t>
            </w:r>
          </w:p>
        </w:tc>
        <w:tc>
          <w:tcPr>
            <w:tcW w:w="7710" w:type="dxa"/>
            <w:tcBorders>
              <w:bottom w:val="single" w:sz="2" w:space="0" w:color="000000"/>
              <w:right w:val="single" w:sz="2" w:space="0" w:color="000000"/>
            </w:tcBorders>
          </w:tcPr>
          <w:p>
            <w:pPr>
              <w:pStyle w:val="Style18"/>
              <w:ind w:hanging="0"/>
              <w:rPr/>
            </w:pPr>
            <w:r>
              <w:rPr/>
              <w:t>Учредительные документы участника отбора предусматривают проведение мероприятий по профилактике пожаров на территории Ненецкого автономного округа</w:t>
            </w:r>
          </w:p>
        </w:tc>
        <w:tc>
          <w:tcPr>
            <w:tcW w:w="964" w:type="dxa"/>
            <w:tcBorders>
              <w:bottom w:val="single" w:sz="2" w:space="0" w:color="000000"/>
              <w:right w:val="single" w:sz="2" w:space="0" w:color="000000"/>
            </w:tcBorders>
          </w:tcPr>
          <w:p>
            <w:pPr>
              <w:pStyle w:val="Style15"/>
              <w:ind w:hanging="0"/>
              <w:jc w:val="center"/>
              <w:rPr/>
            </w:pPr>
            <w:r>
              <w:rPr/>
              <w:t>11</w:t>
            </w:r>
          </w:p>
        </w:tc>
        <w:tc>
          <w:tcPr>
            <w:tcW w:w="964" w:type="dxa"/>
            <w:tcBorders>
              <w:bottom w:val="single" w:sz="2" w:space="0" w:color="000000"/>
              <w:right w:val="single" w:sz="2" w:space="0" w:color="000000"/>
            </w:tcBorders>
          </w:tcPr>
          <w:p>
            <w:pPr>
              <w:pStyle w:val="Style15"/>
              <w:ind w:hanging="0"/>
              <w:jc w:val="center"/>
              <w:rPr/>
            </w:pPr>
            <w:r>
              <w:rPr/>
              <w:t>0</w:t>
            </w:r>
          </w:p>
        </w:tc>
      </w:tr>
      <w:tr>
        <w:trPr/>
        <w:tc>
          <w:tcPr>
            <w:tcW w:w="567" w:type="dxa"/>
            <w:tcBorders>
              <w:left w:val="single" w:sz="2" w:space="0" w:color="000000"/>
              <w:bottom w:val="single" w:sz="2" w:space="0" w:color="000000"/>
              <w:right w:val="single" w:sz="2" w:space="0" w:color="000000"/>
            </w:tcBorders>
          </w:tcPr>
          <w:p>
            <w:pPr>
              <w:pStyle w:val="Style15"/>
              <w:ind w:hanging="0"/>
              <w:jc w:val="center"/>
              <w:rPr/>
            </w:pPr>
            <w:r>
              <w:rPr/>
              <w:t>2.</w:t>
            </w:r>
          </w:p>
        </w:tc>
        <w:tc>
          <w:tcPr>
            <w:tcW w:w="7710" w:type="dxa"/>
            <w:tcBorders>
              <w:bottom w:val="single" w:sz="2" w:space="0" w:color="000000"/>
              <w:right w:val="single" w:sz="2" w:space="0" w:color="000000"/>
            </w:tcBorders>
          </w:tcPr>
          <w:p>
            <w:pPr>
              <w:pStyle w:val="Style18"/>
              <w:ind w:hanging="0"/>
              <w:rPr/>
            </w:pPr>
            <w:r>
              <w:rPr/>
              <w:t>Учредительные документы участника отбора предусматривают спасение людей и имущества при пожарах, проведении аварийно-спасательных работ и оказание первой помощи пострадавшим на территории Ненецкого автономного округа</w:t>
            </w:r>
          </w:p>
        </w:tc>
        <w:tc>
          <w:tcPr>
            <w:tcW w:w="964" w:type="dxa"/>
            <w:tcBorders>
              <w:bottom w:val="single" w:sz="2" w:space="0" w:color="000000"/>
              <w:right w:val="single" w:sz="2" w:space="0" w:color="000000"/>
            </w:tcBorders>
          </w:tcPr>
          <w:p>
            <w:pPr>
              <w:pStyle w:val="Style15"/>
              <w:ind w:hanging="0"/>
              <w:jc w:val="center"/>
              <w:rPr/>
            </w:pPr>
            <w:r>
              <w:rPr/>
              <w:t>11</w:t>
            </w:r>
          </w:p>
        </w:tc>
        <w:tc>
          <w:tcPr>
            <w:tcW w:w="964" w:type="dxa"/>
            <w:tcBorders>
              <w:bottom w:val="single" w:sz="2" w:space="0" w:color="000000"/>
              <w:right w:val="single" w:sz="2" w:space="0" w:color="000000"/>
            </w:tcBorders>
          </w:tcPr>
          <w:p>
            <w:pPr>
              <w:pStyle w:val="Style15"/>
              <w:ind w:hanging="0"/>
              <w:jc w:val="center"/>
              <w:rPr/>
            </w:pPr>
            <w:r>
              <w:rPr/>
              <w:t>0</w:t>
            </w:r>
          </w:p>
        </w:tc>
      </w:tr>
      <w:tr>
        <w:trPr/>
        <w:tc>
          <w:tcPr>
            <w:tcW w:w="567" w:type="dxa"/>
            <w:tcBorders>
              <w:left w:val="single" w:sz="2" w:space="0" w:color="000000"/>
              <w:bottom w:val="single" w:sz="2" w:space="0" w:color="000000"/>
              <w:right w:val="single" w:sz="2" w:space="0" w:color="000000"/>
            </w:tcBorders>
          </w:tcPr>
          <w:p>
            <w:pPr>
              <w:pStyle w:val="Style15"/>
              <w:ind w:hanging="0"/>
              <w:jc w:val="center"/>
              <w:rPr/>
            </w:pPr>
            <w:r>
              <w:rPr/>
              <w:t>3.</w:t>
            </w:r>
          </w:p>
        </w:tc>
        <w:tc>
          <w:tcPr>
            <w:tcW w:w="7710" w:type="dxa"/>
            <w:tcBorders>
              <w:bottom w:val="single" w:sz="2" w:space="0" w:color="000000"/>
              <w:right w:val="single" w:sz="2" w:space="0" w:color="000000"/>
            </w:tcBorders>
          </w:tcPr>
          <w:p>
            <w:pPr>
              <w:pStyle w:val="Style18"/>
              <w:ind w:hanging="0"/>
              <w:rPr/>
            </w:pPr>
            <w:r>
              <w:rPr/>
              <w:t>Учредительные документы участника отбора предусматривают участие в тушении пожаров и проведении аварийно-спасательных работ на территории Ненецкого автономного округа</w:t>
            </w:r>
          </w:p>
        </w:tc>
        <w:tc>
          <w:tcPr>
            <w:tcW w:w="964" w:type="dxa"/>
            <w:tcBorders>
              <w:bottom w:val="single" w:sz="2" w:space="0" w:color="000000"/>
              <w:right w:val="single" w:sz="2" w:space="0" w:color="000000"/>
            </w:tcBorders>
          </w:tcPr>
          <w:p>
            <w:pPr>
              <w:pStyle w:val="Style15"/>
              <w:ind w:hanging="0"/>
              <w:jc w:val="center"/>
              <w:rPr/>
            </w:pPr>
            <w:r>
              <w:rPr/>
              <w:t>11</w:t>
            </w:r>
          </w:p>
        </w:tc>
        <w:tc>
          <w:tcPr>
            <w:tcW w:w="964" w:type="dxa"/>
            <w:tcBorders>
              <w:bottom w:val="single" w:sz="2" w:space="0" w:color="000000"/>
              <w:right w:val="single" w:sz="2" w:space="0" w:color="000000"/>
            </w:tcBorders>
          </w:tcPr>
          <w:p>
            <w:pPr>
              <w:pStyle w:val="Style15"/>
              <w:ind w:hanging="0"/>
              <w:jc w:val="center"/>
              <w:rPr/>
            </w:pPr>
            <w:r>
              <w:rPr/>
              <w:t>0</w:t>
            </w:r>
          </w:p>
        </w:tc>
      </w:tr>
      <w:tr>
        <w:trPr/>
        <w:tc>
          <w:tcPr>
            <w:tcW w:w="567" w:type="dxa"/>
            <w:tcBorders>
              <w:left w:val="single" w:sz="2" w:space="0" w:color="000000"/>
              <w:bottom w:val="single" w:sz="2" w:space="0" w:color="000000"/>
              <w:right w:val="single" w:sz="2" w:space="0" w:color="000000"/>
            </w:tcBorders>
          </w:tcPr>
          <w:p>
            <w:pPr>
              <w:pStyle w:val="Style15"/>
              <w:ind w:hanging="0"/>
              <w:jc w:val="center"/>
              <w:rPr/>
            </w:pPr>
            <w:r>
              <w:rPr/>
              <w:t>4.</w:t>
            </w:r>
          </w:p>
        </w:tc>
        <w:tc>
          <w:tcPr>
            <w:tcW w:w="7710" w:type="dxa"/>
            <w:tcBorders>
              <w:bottom w:val="single" w:sz="2" w:space="0" w:color="000000"/>
              <w:right w:val="single" w:sz="2" w:space="0" w:color="000000"/>
            </w:tcBorders>
          </w:tcPr>
          <w:p>
            <w:pPr>
              <w:pStyle w:val="Style18"/>
              <w:ind w:hanging="0"/>
              <w:rPr/>
            </w:pPr>
            <w:r>
              <w:rPr/>
              <w:t>Участником отбора представлена справка Главного управления МЧС России по Ненецкому автономному округу о включении созданных участником отбора добровольных пожарных подразделений в План привлечения сил и средств территориального пожарно-спасательного гарнизона для тушения пожаров и проведения аварийно-спасательных работ на территории Ненецкого автономного округа</w:t>
            </w:r>
          </w:p>
        </w:tc>
        <w:tc>
          <w:tcPr>
            <w:tcW w:w="964" w:type="dxa"/>
            <w:tcBorders>
              <w:bottom w:val="single" w:sz="2" w:space="0" w:color="000000"/>
              <w:right w:val="single" w:sz="2" w:space="0" w:color="000000"/>
            </w:tcBorders>
          </w:tcPr>
          <w:p>
            <w:pPr>
              <w:pStyle w:val="Style15"/>
              <w:ind w:hanging="0"/>
              <w:jc w:val="center"/>
              <w:rPr/>
            </w:pPr>
            <w:r>
              <w:rPr/>
              <w:t>11</w:t>
            </w:r>
          </w:p>
        </w:tc>
        <w:tc>
          <w:tcPr>
            <w:tcW w:w="964" w:type="dxa"/>
            <w:tcBorders>
              <w:bottom w:val="single" w:sz="2" w:space="0" w:color="000000"/>
              <w:right w:val="single" w:sz="2" w:space="0" w:color="000000"/>
            </w:tcBorders>
          </w:tcPr>
          <w:p>
            <w:pPr>
              <w:pStyle w:val="Style15"/>
              <w:ind w:hanging="0"/>
              <w:jc w:val="center"/>
              <w:rPr/>
            </w:pPr>
            <w:r>
              <w:rPr/>
              <w:t>0</w:t>
            </w:r>
          </w:p>
        </w:tc>
      </w:tr>
      <w:tr>
        <w:trPr/>
        <w:tc>
          <w:tcPr>
            <w:tcW w:w="567" w:type="dxa"/>
            <w:tcBorders>
              <w:left w:val="single" w:sz="2" w:space="0" w:color="000000"/>
              <w:bottom w:val="single" w:sz="2" w:space="0" w:color="000000"/>
              <w:right w:val="single" w:sz="2" w:space="0" w:color="000000"/>
            </w:tcBorders>
          </w:tcPr>
          <w:p>
            <w:pPr>
              <w:pStyle w:val="Style15"/>
              <w:ind w:hanging="0"/>
              <w:jc w:val="center"/>
              <w:rPr/>
            </w:pPr>
            <w:r>
              <w:rPr/>
              <w:t>5.</w:t>
            </w:r>
          </w:p>
        </w:tc>
        <w:tc>
          <w:tcPr>
            <w:tcW w:w="7710" w:type="dxa"/>
            <w:tcBorders>
              <w:bottom w:val="single" w:sz="2" w:space="0" w:color="000000"/>
              <w:right w:val="single" w:sz="2" w:space="0" w:color="000000"/>
            </w:tcBorders>
          </w:tcPr>
          <w:p>
            <w:pPr>
              <w:pStyle w:val="Style18"/>
              <w:ind w:hanging="0"/>
              <w:rPr/>
            </w:pPr>
            <w:r>
              <w:rPr/>
              <w:t>Участником отбора представлены документы (декларация) о наличии в каждом добровольном пожарном подразделении участника отбора пожарной техники и пожарно-технического вооружения в количестве не менее 50% наименований, установленных Приложением 3 к настоящему Порядку</w:t>
            </w:r>
          </w:p>
        </w:tc>
        <w:tc>
          <w:tcPr>
            <w:tcW w:w="964" w:type="dxa"/>
            <w:tcBorders>
              <w:bottom w:val="single" w:sz="2" w:space="0" w:color="000000"/>
              <w:right w:val="single" w:sz="2" w:space="0" w:color="000000"/>
            </w:tcBorders>
          </w:tcPr>
          <w:p>
            <w:pPr>
              <w:pStyle w:val="Style15"/>
              <w:ind w:hanging="0"/>
              <w:jc w:val="center"/>
              <w:rPr/>
            </w:pPr>
            <w:r>
              <w:rPr/>
              <w:t>11</w:t>
            </w:r>
          </w:p>
        </w:tc>
        <w:tc>
          <w:tcPr>
            <w:tcW w:w="964" w:type="dxa"/>
            <w:tcBorders>
              <w:bottom w:val="single" w:sz="2" w:space="0" w:color="000000"/>
              <w:right w:val="single" w:sz="2" w:space="0" w:color="000000"/>
            </w:tcBorders>
          </w:tcPr>
          <w:p>
            <w:pPr>
              <w:pStyle w:val="Style15"/>
              <w:ind w:hanging="0"/>
              <w:jc w:val="center"/>
              <w:rPr/>
            </w:pPr>
            <w:r>
              <w:rPr/>
              <w:t>0</w:t>
            </w:r>
          </w:p>
        </w:tc>
      </w:tr>
      <w:tr>
        <w:trPr/>
        <w:tc>
          <w:tcPr>
            <w:tcW w:w="567" w:type="dxa"/>
            <w:tcBorders>
              <w:left w:val="single" w:sz="2" w:space="0" w:color="000000"/>
              <w:bottom w:val="single" w:sz="2" w:space="0" w:color="000000"/>
              <w:right w:val="single" w:sz="2" w:space="0" w:color="000000"/>
            </w:tcBorders>
          </w:tcPr>
          <w:p>
            <w:pPr>
              <w:pStyle w:val="Style15"/>
              <w:ind w:hanging="0"/>
              <w:jc w:val="center"/>
              <w:rPr/>
            </w:pPr>
            <w:r>
              <w:rPr/>
              <w:t>6.</w:t>
            </w:r>
          </w:p>
        </w:tc>
        <w:tc>
          <w:tcPr>
            <w:tcW w:w="7710" w:type="dxa"/>
            <w:tcBorders>
              <w:bottom w:val="single" w:sz="2" w:space="0" w:color="000000"/>
              <w:right w:val="single" w:sz="2" w:space="0" w:color="000000"/>
            </w:tcBorders>
          </w:tcPr>
          <w:p>
            <w:pPr>
              <w:pStyle w:val="Style18"/>
              <w:ind w:hanging="0"/>
              <w:rPr/>
            </w:pPr>
            <w:r>
              <w:rPr/>
              <w:t>Участником отбора представлены документы (декларация) об оснащении добровольных пожарных в каждом добровольном пожарном подразделении участника отбора специальной одеждой и снаряжением в количестве не менее 80% наименований, установленных Приложением 4 к настоящему Порядку</w:t>
            </w:r>
          </w:p>
        </w:tc>
        <w:tc>
          <w:tcPr>
            <w:tcW w:w="964" w:type="dxa"/>
            <w:tcBorders>
              <w:bottom w:val="single" w:sz="2" w:space="0" w:color="000000"/>
              <w:right w:val="single" w:sz="2" w:space="0" w:color="000000"/>
            </w:tcBorders>
          </w:tcPr>
          <w:p>
            <w:pPr>
              <w:pStyle w:val="Style15"/>
              <w:ind w:hanging="0"/>
              <w:jc w:val="center"/>
              <w:rPr/>
            </w:pPr>
            <w:r>
              <w:rPr/>
              <w:t>11</w:t>
            </w:r>
          </w:p>
        </w:tc>
        <w:tc>
          <w:tcPr>
            <w:tcW w:w="964" w:type="dxa"/>
            <w:tcBorders>
              <w:bottom w:val="single" w:sz="2" w:space="0" w:color="000000"/>
              <w:right w:val="single" w:sz="2" w:space="0" w:color="000000"/>
            </w:tcBorders>
          </w:tcPr>
          <w:p>
            <w:pPr>
              <w:pStyle w:val="Style15"/>
              <w:ind w:hanging="0"/>
              <w:jc w:val="center"/>
              <w:rPr/>
            </w:pPr>
            <w:r>
              <w:rPr/>
              <w:t>0</w:t>
            </w:r>
          </w:p>
        </w:tc>
      </w:tr>
      <w:tr>
        <w:trPr/>
        <w:tc>
          <w:tcPr>
            <w:tcW w:w="567" w:type="dxa"/>
            <w:tcBorders>
              <w:left w:val="single" w:sz="2" w:space="0" w:color="000000"/>
              <w:bottom w:val="single" w:sz="2" w:space="0" w:color="000000"/>
              <w:right w:val="single" w:sz="2" w:space="0" w:color="000000"/>
            </w:tcBorders>
          </w:tcPr>
          <w:p>
            <w:pPr>
              <w:pStyle w:val="Style15"/>
              <w:ind w:hanging="0"/>
              <w:jc w:val="center"/>
              <w:rPr/>
            </w:pPr>
            <w:r>
              <w:rPr/>
              <w:t>7.</w:t>
            </w:r>
          </w:p>
        </w:tc>
        <w:tc>
          <w:tcPr>
            <w:tcW w:w="7710" w:type="dxa"/>
            <w:tcBorders>
              <w:bottom w:val="single" w:sz="2" w:space="0" w:color="000000"/>
              <w:right w:val="single" w:sz="2" w:space="0" w:color="000000"/>
            </w:tcBorders>
          </w:tcPr>
          <w:p>
            <w:pPr>
              <w:pStyle w:val="Style18"/>
              <w:ind w:hanging="0"/>
              <w:rPr/>
            </w:pPr>
            <w:r>
              <w:rPr/>
              <w:t>На момент подачи заявки не менее 50% добровольных пожарных участника отбора обладает необходимыми пожарно-техническими знаниями в объеме, предусмотренном соответствующей программой профессионального обучения добровольных пожарных</w:t>
            </w:r>
          </w:p>
        </w:tc>
        <w:tc>
          <w:tcPr>
            <w:tcW w:w="964" w:type="dxa"/>
            <w:tcBorders>
              <w:bottom w:val="single" w:sz="2" w:space="0" w:color="000000"/>
              <w:right w:val="single" w:sz="2" w:space="0" w:color="000000"/>
            </w:tcBorders>
          </w:tcPr>
          <w:p>
            <w:pPr>
              <w:pStyle w:val="Style15"/>
              <w:ind w:hanging="0"/>
              <w:jc w:val="center"/>
              <w:rPr/>
            </w:pPr>
            <w:r>
              <w:rPr/>
              <w:t>11</w:t>
            </w:r>
          </w:p>
        </w:tc>
        <w:tc>
          <w:tcPr>
            <w:tcW w:w="964" w:type="dxa"/>
            <w:tcBorders>
              <w:bottom w:val="single" w:sz="2" w:space="0" w:color="000000"/>
              <w:right w:val="single" w:sz="2" w:space="0" w:color="000000"/>
            </w:tcBorders>
          </w:tcPr>
          <w:p>
            <w:pPr>
              <w:pStyle w:val="Style15"/>
              <w:ind w:hanging="0"/>
              <w:jc w:val="center"/>
              <w:rPr/>
            </w:pPr>
            <w:r>
              <w:rPr/>
              <w:t>0</w:t>
            </w:r>
          </w:p>
        </w:tc>
      </w:tr>
      <w:tr>
        <w:trPr/>
        <w:tc>
          <w:tcPr>
            <w:tcW w:w="567" w:type="dxa"/>
            <w:tcBorders>
              <w:left w:val="single" w:sz="2" w:space="0" w:color="000000"/>
              <w:bottom w:val="single" w:sz="2" w:space="0" w:color="000000"/>
              <w:right w:val="single" w:sz="2" w:space="0" w:color="000000"/>
            </w:tcBorders>
          </w:tcPr>
          <w:p>
            <w:pPr>
              <w:pStyle w:val="Style15"/>
              <w:ind w:hanging="0"/>
              <w:jc w:val="center"/>
              <w:rPr/>
            </w:pPr>
            <w:r>
              <w:rPr/>
              <w:t>8.</w:t>
            </w:r>
          </w:p>
        </w:tc>
        <w:tc>
          <w:tcPr>
            <w:tcW w:w="7710" w:type="dxa"/>
            <w:tcBorders>
              <w:bottom w:val="single" w:sz="2" w:space="0" w:color="000000"/>
              <w:right w:val="single" w:sz="2" w:space="0" w:color="000000"/>
            </w:tcBorders>
          </w:tcPr>
          <w:p>
            <w:pPr>
              <w:pStyle w:val="Style18"/>
              <w:ind w:hanging="0"/>
              <w:rPr/>
            </w:pPr>
            <w:r>
              <w:rPr/>
              <w:t>Участником отбора заключены договоры с органами местного самоуправления всех муниципальных образований Ненецкого автономного округа, в которых созданы его добровольные пожарные подразделения. В договорах могут быть предусмотрены условия предоставления в безвозмездное пользование участнику отбора помещений, мобильных и (или) первичных средств пожаротушения, а также оплата коммунальных услуг</w:t>
            </w:r>
          </w:p>
        </w:tc>
        <w:tc>
          <w:tcPr>
            <w:tcW w:w="964" w:type="dxa"/>
            <w:tcBorders>
              <w:bottom w:val="single" w:sz="2" w:space="0" w:color="000000"/>
              <w:right w:val="single" w:sz="2" w:space="0" w:color="000000"/>
            </w:tcBorders>
          </w:tcPr>
          <w:p>
            <w:pPr>
              <w:pStyle w:val="Style15"/>
              <w:ind w:hanging="0"/>
              <w:jc w:val="center"/>
              <w:rPr/>
            </w:pPr>
            <w:r>
              <w:rPr/>
              <w:t>11</w:t>
            </w:r>
          </w:p>
        </w:tc>
        <w:tc>
          <w:tcPr>
            <w:tcW w:w="964" w:type="dxa"/>
            <w:tcBorders>
              <w:bottom w:val="single" w:sz="2" w:space="0" w:color="000000"/>
              <w:right w:val="single" w:sz="2" w:space="0" w:color="000000"/>
            </w:tcBorders>
          </w:tcPr>
          <w:p>
            <w:pPr>
              <w:pStyle w:val="Style15"/>
              <w:ind w:hanging="0"/>
              <w:jc w:val="center"/>
              <w:rPr/>
            </w:pPr>
            <w:r>
              <w:rPr/>
              <w:t>0</w:t>
            </w:r>
          </w:p>
        </w:tc>
      </w:tr>
      <w:tr>
        <w:trPr/>
        <w:tc>
          <w:tcPr>
            <w:tcW w:w="567" w:type="dxa"/>
            <w:tcBorders>
              <w:left w:val="single" w:sz="2" w:space="0" w:color="000000"/>
              <w:bottom w:val="single" w:sz="2" w:space="0" w:color="000000"/>
              <w:right w:val="single" w:sz="2" w:space="0" w:color="000000"/>
            </w:tcBorders>
          </w:tcPr>
          <w:p>
            <w:pPr>
              <w:pStyle w:val="Style15"/>
              <w:ind w:hanging="0"/>
              <w:jc w:val="center"/>
              <w:rPr/>
            </w:pPr>
            <w:r>
              <w:rPr/>
              <w:t>9.</w:t>
            </w:r>
          </w:p>
        </w:tc>
        <w:tc>
          <w:tcPr>
            <w:tcW w:w="7710" w:type="dxa"/>
            <w:tcBorders>
              <w:bottom w:val="single" w:sz="2" w:space="0" w:color="000000"/>
              <w:right w:val="single" w:sz="2" w:space="0" w:color="000000"/>
            </w:tcBorders>
          </w:tcPr>
          <w:p>
            <w:pPr>
              <w:pStyle w:val="Style18"/>
              <w:ind w:hanging="0"/>
              <w:rPr/>
            </w:pPr>
            <w:r>
              <w:rPr/>
              <w:t>Участником отбора представлен документ, подтверждающий участие в учениях (тренировках) в области обеспечения пожарной безопасности на территории Ненецкого автономного округа в текущем финансовом году</w:t>
            </w:r>
          </w:p>
        </w:tc>
        <w:tc>
          <w:tcPr>
            <w:tcW w:w="964" w:type="dxa"/>
            <w:tcBorders>
              <w:bottom w:val="single" w:sz="2" w:space="0" w:color="000000"/>
              <w:right w:val="single" w:sz="2" w:space="0" w:color="000000"/>
            </w:tcBorders>
          </w:tcPr>
          <w:p>
            <w:pPr>
              <w:pStyle w:val="Style15"/>
              <w:ind w:hanging="0"/>
              <w:jc w:val="center"/>
              <w:rPr/>
            </w:pPr>
            <w:r>
              <w:rPr/>
              <w:t>11</w:t>
            </w:r>
          </w:p>
        </w:tc>
        <w:tc>
          <w:tcPr>
            <w:tcW w:w="964" w:type="dxa"/>
            <w:tcBorders>
              <w:bottom w:val="single" w:sz="2" w:space="0" w:color="000000"/>
              <w:right w:val="single" w:sz="2" w:space="0" w:color="000000"/>
            </w:tcBorders>
          </w:tcPr>
          <w:p>
            <w:pPr>
              <w:pStyle w:val="Style15"/>
              <w:ind w:hanging="0"/>
              <w:jc w:val="center"/>
              <w:rPr/>
            </w:pPr>
            <w:r>
              <w:rPr/>
              <w:t>0</w:t>
            </w:r>
          </w:p>
        </w:tc>
      </w:tr>
    </w:tbl>
    <w:p>
      <w:pPr>
        <w:pStyle w:val="Style15"/>
        <w:ind w:firstLine="680"/>
        <w:jc w:val="right"/>
        <w:rPr/>
      </w:pPr>
      <w:r>
        <w:rPr/>
        <w:t>".</w:t>
      </w:r>
    </w:p>
    <w:p>
      <w:pPr>
        <w:pStyle w:val="Style15"/>
        <w:rPr/>
      </w:pPr>
      <w:r>
        <w:rPr/>
      </w:r>
    </w:p>
    <w:p>
      <w:pPr>
        <w:pStyle w:val="Style15"/>
        <w:rPr/>
      </w:pPr>
      <w:bookmarkStart w:id="34" w:name="anchor1021"/>
      <w:bookmarkEnd w:id="34"/>
      <w:r>
        <w:rPr/>
        <w:t xml:space="preserve">21. В </w:t>
      </w:r>
      <w:hyperlink r:id="rId42">
        <w:r>
          <w:rPr>
            <w:rStyle w:val="Hyperlink"/>
          </w:rPr>
          <w:t>пункте 39</w:t>
        </w:r>
      </w:hyperlink>
      <w:r>
        <w:rPr/>
        <w:t xml:space="preserve"> цифру "5" заменить цифрами "11".</w:t>
      </w:r>
    </w:p>
    <w:p>
      <w:pPr>
        <w:pStyle w:val="Style15"/>
        <w:rPr/>
      </w:pPr>
      <w:bookmarkStart w:id="35" w:name="anchor1022"/>
      <w:bookmarkEnd w:id="35"/>
      <w:r>
        <w:rPr/>
        <w:t xml:space="preserve">22. В </w:t>
      </w:r>
      <w:hyperlink r:id="rId43">
        <w:r>
          <w:rPr>
            <w:rStyle w:val="Hyperlink"/>
          </w:rPr>
          <w:t>пункте 42</w:t>
        </w:r>
      </w:hyperlink>
      <w:r>
        <w:rPr/>
        <w:t xml:space="preserve"> цифры "25" заменить цифрами "55".</w:t>
      </w:r>
    </w:p>
    <w:p>
      <w:pPr>
        <w:pStyle w:val="Style15"/>
        <w:rPr/>
      </w:pPr>
      <w:bookmarkStart w:id="36" w:name="anchor1023"/>
      <w:bookmarkEnd w:id="36"/>
      <w:r>
        <w:rPr/>
        <w:t>23. </w:t>
      </w:r>
      <w:hyperlink r:id="rId44">
        <w:r>
          <w:rPr>
            <w:rStyle w:val="Hyperlink"/>
          </w:rPr>
          <w:t>Пункт 46</w:t>
        </w:r>
      </w:hyperlink>
      <w:r>
        <w:rPr/>
        <w:t xml:space="preserve"> изложить в следующей редакции:</w:t>
      </w:r>
    </w:p>
    <w:p>
      <w:pPr>
        <w:pStyle w:val="Style15"/>
        <w:rPr/>
      </w:pPr>
      <w:r>
        <w:rPr/>
        <w:t>"46. Протокол оценки заявок формируется на едином портале на основании результатов определения победителей отбора конкурсной комиссией, подписывается усиленной квалифицированной электронной подписью председателя и секретаря конкурсной комиссии в ГИИС "Электронный бюджет".".</w:t>
      </w:r>
    </w:p>
    <w:p>
      <w:pPr>
        <w:pStyle w:val="Style15"/>
        <w:rPr/>
      </w:pPr>
      <w:bookmarkStart w:id="37" w:name="anchor1024"/>
      <w:bookmarkEnd w:id="37"/>
      <w:r>
        <w:rPr/>
        <w:t xml:space="preserve">24. В </w:t>
      </w:r>
      <w:hyperlink r:id="rId45">
        <w:r>
          <w:rPr>
            <w:rStyle w:val="Hyperlink"/>
          </w:rPr>
          <w:t>пункте 47</w:t>
        </w:r>
      </w:hyperlink>
      <w:r>
        <w:rPr/>
        <w:t xml:space="preserve"> слова "Управление в течение 2 рабочих дней со дня подписания" заменить словами "Департамент не позднее 1-го рабочего дня, следующего за днем подписания".</w:t>
      </w:r>
    </w:p>
    <w:p>
      <w:pPr>
        <w:pStyle w:val="Style15"/>
        <w:rPr/>
      </w:pPr>
      <w:bookmarkStart w:id="38" w:name="anchor1025"/>
      <w:bookmarkEnd w:id="38"/>
      <w:r>
        <w:rPr/>
        <w:t xml:space="preserve">25. В </w:t>
      </w:r>
      <w:hyperlink r:id="rId46">
        <w:r>
          <w:rPr>
            <w:rStyle w:val="Hyperlink"/>
          </w:rPr>
          <w:t>абзаце первом пункта 48</w:t>
        </w:r>
      </w:hyperlink>
      <w:r>
        <w:rPr/>
        <w:t xml:space="preserve"> слово "Управление" заменить словом "Департамент".</w:t>
      </w:r>
    </w:p>
    <w:p>
      <w:pPr>
        <w:pStyle w:val="Style15"/>
        <w:rPr/>
      </w:pPr>
      <w:bookmarkStart w:id="39" w:name="anchor1026"/>
      <w:bookmarkEnd w:id="39"/>
      <w:r>
        <w:rPr/>
        <w:t>26. </w:t>
      </w:r>
      <w:hyperlink r:id="rId47">
        <w:r>
          <w:rPr>
            <w:rStyle w:val="Hyperlink"/>
          </w:rPr>
          <w:t>Подпункт 5 пункта 50</w:t>
        </w:r>
      </w:hyperlink>
      <w:r>
        <w:rPr/>
        <w:t xml:space="preserve"> после слов "добровольного пожарного" дополнить словами "в соответствии с Порядком личного страхования добровольных пожарных общественного объединения добровольной пожарной охраны на период исполнения ими обязанностей добровольного пожарного, установленным в Приложении 6.1 к настоящему Порядку".</w:t>
      </w:r>
    </w:p>
    <w:p>
      <w:pPr>
        <w:pStyle w:val="Style15"/>
        <w:rPr/>
      </w:pPr>
      <w:bookmarkStart w:id="40" w:name="anchor1027"/>
      <w:bookmarkEnd w:id="40"/>
      <w:r>
        <w:rPr/>
        <w:t xml:space="preserve">27. В </w:t>
      </w:r>
      <w:hyperlink r:id="rId48">
        <w:r>
          <w:rPr>
            <w:rStyle w:val="Hyperlink"/>
          </w:rPr>
          <w:t>пункте 54</w:t>
        </w:r>
      </w:hyperlink>
      <w:r>
        <w:rPr/>
        <w:t xml:space="preserve"> слова "и экономики" исключить.</w:t>
      </w:r>
    </w:p>
    <w:p>
      <w:pPr>
        <w:pStyle w:val="Style15"/>
        <w:rPr/>
      </w:pPr>
      <w:bookmarkStart w:id="41" w:name="anchor1028"/>
      <w:bookmarkEnd w:id="41"/>
      <w:r>
        <w:rPr/>
        <w:t xml:space="preserve">28. В </w:t>
      </w:r>
      <w:hyperlink r:id="rId49">
        <w:r>
          <w:rPr>
            <w:rStyle w:val="Hyperlink"/>
          </w:rPr>
          <w:t>подпунктах 2</w:t>
        </w:r>
      </w:hyperlink>
      <w:r>
        <w:rPr/>
        <w:t xml:space="preserve">, </w:t>
      </w:r>
      <w:hyperlink r:id="rId50">
        <w:r>
          <w:rPr>
            <w:rStyle w:val="Hyperlink"/>
          </w:rPr>
          <w:t>3</w:t>
        </w:r>
      </w:hyperlink>
      <w:r>
        <w:rPr/>
        <w:t xml:space="preserve">, </w:t>
      </w:r>
      <w:hyperlink r:id="rId51">
        <w:r>
          <w:rPr>
            <w:rStyle w:val="Hyperlink"/>
          </w:rPr>
          <w:t>6 пункта 55</w:t>
        </w:r>
      </w:hyperlink>
      <w:r>
        <w:rPr/>
        <w:t xml:space="preserve">, </w:t>
      </w:r>
      <w:hyperlink r:id="rId52">
        <w:r>
          <w:rPr>
            <w:rStyle w:val="Hyperlink"/>
          </w:rPr>
          <w:t>пунктах 56-61</w:t>
        </w:r>
      </w:hyperlink>
      <w:r>
        <w:rPr/>
        <w:t xml:space="preserve"> слово "Управление" в соответствующем падеже заменить словом "Департамент" в соответствующем падеже.</w:t>
      </w:r>
    </w:p>
    <w:p>
      <w:pPr>
        <w:pStyle w:val="Style15"/>
        <w:rPr/>
      </w:pPr>
      <w:bookmarkStart w:id="42" w:name="anchor1029"/>
      <w:bookmarkEnd w:id="42"/>
      <w:r>
        <w:rPr/>
        <w:t xml:space="preserve">29. В </w:t>
      </w:r>
      <w:hyperlink r:id="rId53">
        <w:r>
          <w:rPr>
            <w:rStyle w:val="Hyperlink"/>
          </w:rPr>
          <w:t>пункте 63</w:t>
        </w:r>
      </w:hyperlink>
      <w:r>
        <w:rPr/>
        <w:t xml:space="preserve"> слова "расчетный или корреспондентский" исключить, слово "Управлением" заменить словом "Департаментом".</w:t>
      </w:r>
    </w:p>
    <w:p>
      <w:pPr>
        <w:pStyle w:val="Style15"/>
        <w:rPr/>
      </w:pPr>
      <w:bookmarkStart w:id="43" w:name="anchor1030"/>
      <w:bookmarkEnd w:id="43"/>
      <w:r>
        <w:rPr/>
        <w:t xml:space="preserve">30. В </w:t>
      </w:r>
      <w:hyperlink r:id="rId54">
        <w:r>
          <w:rPr>
            <w:rStyle w:val="Hyperlink"/>
          </w:rPr>
          <w:t>пункте 64</w:t>
        </w:r>
      </w:hyperlink>
      <w:r>
        <w:rPr/>
        <w:t xml:space="preserve">, </w:t>
      </w:r>
      <w:hyperlink r:id="rId55">
        <w:r>
          <w:rPr>
            <w:rStyle w:val="Hyperlink"/>
          </w:rPr>
          <w:t>абзаце первом пункта 66</w:t>
        </w:r>
      </w:hyperlink>
      <w:r>
        <w:rPr/>
        <w:t xml:space="preserve">, </w:t>
      </w:r>
      <w:hyperlink r:id="rId56">
        <w:r>
          <w:rPr>
            <w:rStyle w:val="Hyperlink"/>
          </w:rPr>
          <w:t>пункте 67</w:t>
        </w:r>
      </w:hyperlink>
      <w:r>
        <w:rPr/>
        <w:t xml:space="preserve">, </w:t>
      </w:r>
      <w:hyperlink r:id="rId57">
        <w:r>
          <w:rPr>
            <w:rStyle w:val="Hyperlink"/>
          </w:rPr>
          <w:t>подпункте 1 пункта 68</w:t>
        </w:r>
      </w:hyperlink>
      <w:r>
        <w:rPr/>
        <w:t xml:space="preserve">, </w:t>
      </w:r>
      <w:hyperlink r:id="rId58">
        <w:r>
          <w:rPr>
            <w:rStyle w:val="Hyperlink"/>
          </w:rPr>
          <w:t>пунктах 69</w:t>
        </w:r>
      </w:hyperlink>
      <w:r>
        <w:rPr/>
        <w:t xml:space="preserve">, </w:t>
      </w:r>
      <w:hyperlink r:id="rId59">
        <w:r>
          <w:rPr>
            <w:rStyle w:val="Hyperlink"/>
          </w:rPr>
          <w:t>72</w:t>
        </w:r>
      </w:hyperlink>
      <w:r>
        <w:rPr/>
        <w:t xml:space="preserve">, </w:t>
      </w:r>
      <w:hyperlink r:id="rId60">
        <w:r>
          <w:rPr>
            <w:rStyle w:val="Hyperlink"/>
          </w:rPr>
          <w:t>73</w:t>
        </w:r>
      </w:hyperlink>
      <w:r>
        <w:rPr/>
        <w:t xml:space="preserve">, </w:t>
      </w:r>
      <w:hyperlink r:id="rId61">
        <w:r>
          <w:rPr>
            <w:rStyle w:val="Hyperlink"/>
          </w:rPr>
          <w:t>78</w:t>
        </w:r>
      </w:hyperlink>
      <w:r>
        <w:rPr/>
        <w:t xml:space="preserve"> слово "Управление" в соответствующем падеже заменить словом "Департамент" в соответствующем падеже.</w:t>
      </w:r>
    </w:p>
    <w:p>
      <w:pPr>
        <w:pStyle w:val="Style15"/>
        <w:rPr/>
      </w:pPr>
      <w:bookmarkStart w:id="44" w:name="anchor1031"/>
      <w:bookmarkEnd w:id="44"/>
      <w:r>
        <w:rPr/>
        <w:t xml:space="preserve">31. В </w:t>
      </w:r>
      <w:hyperlink r:id="rId62">
        <w:r>
          <w:rPr>
            <w:rStyle w:val="Hyperlink"/>
          </w:rPr>
          <w:t>пункте 4</w:t>
        </w:r>
      </w:hyperlink>
      <w:r>
        <w:rPr/>
        <w:t xml:space="preserve"> Приложения 1 слова "Управлением гражданской защиты и обеспечения пожарной безопасности" заменить словами "Департаментом общественной безопасности".</w:t>
      </w:r>
    </w:p>
    <w:p>
      <w:pPr>
        <w:pStyle w:val="Style15"/>
        <w:rPr/>
      </w:pPr>
      <w:bookmarkStart w:id="45" w:name="anchor1032"/>
      <w:bookmarkEnd w:id="45"/>
      <w:r>
        <w:rPr/>
        <w:t xml:space="preserve">32. В </w:t>
      </w:r>
      <w:hyperlink r:id="rId63">
        <w:r>
          <w:rPr>
            <w:rStyle w:val="Hyperlink"/>
          </w:rPr>
          <w:t>Приложении 2</w:t>
        </w:r>
      </w:hyperlink>
      <w:r>
        <w:rPr/>
        <w:t>:</w:t>
      </w:r>
    </w:p>
    <w:p>
      <w:pPr>
        <w:pStyle w:val="Style15"/>
        <w:rPr/>
      </w:pPr>
      <w:bookmarkStart w:id="46" w:name="anchor1321"/>
      <w:bookmarkEnd w:id="46"/>
      <w:r>
        <w:rPr/>
        <w:t xml:space="preserve">1) в </w:t>
      </w:r>
      <w:hyperlink r:id="rId64">
        <w:r>
          <w:rPr>
            <w:rStyle w:val="Hyperlink"/>
          </w:rPr>
          <w:t>пункте 2</w:t>
        </w:r>
      </w:hyperlink>
      <w:r>
        <w:rPr/>
        <w:t xml:space="preserve"> слова "Управления гражданской защиты и обеспечения пожарной безопасности Ненецкого автономного округа (далее - Управление)" заменить словами "Департамента общественной безопасности Ненецкого автономного округа (далее - Департамент)", слово "Управлении" заменить словом "Департаменте";</w:t>
      </w:r>
    </w:p>
    <w:p>
      <w:pPr>
        <w:pStyle w:val="Style15"/>
        <w:rPr/>
      </w:pPr>
      <w:bookmarkStart w:id="47" w:name="anchor1322"/>
      <w:bookmarkEnd w:id="47"/>
      <w:r>
        <w:rPr/>
        <w:t xml:space="preserve">2) в </w:t>
      </w:r>
      <w:hyperlink r:id="rId65">
        <w:r>
          <w:rPr>
            <w:rStyle w:val="Hyperlink"/>
          </w:rPr>
          <w:t>пункте 3</w:t>
        </w:r>
      </w:hyperlink>
      <w:r>
        <w:rPr/>
        <w:t xml:space="preserve"> слово "Управления" заменить словом "Департамента";</w:t>
      </w:r>
    </w:p>
    <w:p>
      <w:pPr>
        <w:pStyle w:val="Style15"/>
        <w:rPr/>
      </w:pPr>
      <w:bookmarkStart w:id="48" w:name="anchor1323"/>
      <w:bookmarkEnd w:id="48"/>
      <w:r>
        <w:rPr/>
        <w:t xml:space="preserve">3) дополнить </w:t>
      </w:r>
      <w:hyperlink r:id="rId66">
        <w:r>
          <w:rPr>
            <w:rStyle w:val="Hyperlink"/>
          </w:rPr>
          <w:t>пунктами 3.1</w:t>
        </w:r>
      </w:hyperlink>
      <w:r>
        <w:rPr/>
        <w:t xml:space="preserve"> и </w:t>
      </w:r>
      <w:hyperlink r:id="rId67">
        <w:r>
          <w:rPr>
            <w:rStyle w:val="Hyperlink"/>
          </w:rPr>
          <w:t>3.2</w:t>
        </w:r>
      </w:hyperlink>
      <w:r>
        <w:rPr/>
        <w:t xml:space="preserve"> следующего содержания:</w:t>
      </w:r>
    </w:p>
    <w:p>
      <w:pPr>
        <w:pStyle w:val="Style15"/>
        <w:rPr/>
      </w:pPr>
      <w:r>
        <w:rPr/>
        <w:t>"3.1. Конкурсная комиссия в случае необходимости может проводить заседания для изучения заявок и обсуждения вопросов при проведении отбора.</w:t>
      </w:r>
    </w:p>
    <w:p>
      <w:pPr>
        <w:pStyle w:val="Style15"/>
        <w:rPr/>
      </w:pPr>
      <w:r>
        <w:rPr/>
        <w:t>3.2. Оценка заявок по критериям оценки осуществляется каждым членом конкурсной комиссии на Портале.";</w:t>
      </w:r>
    </w:p>
    <w:p>
      <w:pPr>
        <w:pStyle w:val="Style15"/>
        <w:rPr/>
      </w:pPr>
      <w:bookmarkStart w:id="49" w:name="anchor1324"/>
      <w:bookmarkEnd w:id="49"/>
      <w:r>
        <w:rPr/>
        <w:t xml:space="preserve">4) в </w:t>
      </w:r>
      <w:hyperlink r:id="rId68">
        <w:r>
          <w:rPr>
            <w:rStyle w:val="Hyperlink"/>
          </w:rPr>
          <w:t>пункте 5</w:t>
        </w:r>
      </w:hyperlink>
      <w:r>
        <w:rPr/>
        <w:t>:</w:t>
      </w:r>
    </w:p>
    <w:p>
      <w:pPr>
        <w:pStyle w:val="Style15"/>
        <w:rPr/>
      </w:pPr>
      <w:hyperlink r:id="rId69">
        <w:bookmarkStart w:id="50" w:name="anchor13241"/>
        <w:bookmarkEnd w:id="50"/>
        <w:r>
          <w:rPr>
            <w:rStyle w:val="Hyperlink"/>
          </w:rPr>
          <w:t>подпункт 2</w:t>
        </w:r>
      </w:hyperlink>
      <w:r>
        <w:rPr/>
        <w:t xml:space="preserve"> признать утратившим силу;</w:t>
      </w:r>
    </w:p>
    <w:p>
      <w:pPr>
        <w:pStyle w:val="Style15"/>
        <w:rPr/>
      </w:pPr>
      <w:bookmarkStart w:id="51" w:name="anchor13242"/>
      <w:bookmarkEnd w:id="51"/>
      <w:r>
        <w:rPr/>
        <w:t xml:space="preserve">в </w:t>
      </w:r>
      <w:hyperlink r:id="rId70">
        <w:r>
          <w:rPr>
            <w:rStyle w:val="Hyperlink"/>
          </w:rPr>
          <w:t>подпункте 4</w:t>
        </w:r>
      </w:hyperlink>
      <w:r>
        <w:rPr/>
        <w:t xml:space="preserve"> слова ", контроль за подготовкой протоколов конкурсной комиссии" исключить;</w:t>
      </w:r>
    </w:p>
    <w:p>
      <w:pPr>
        <w:pStyle w:val="Style15"/>
        <w:rPr/>
      </w:pPr>
      <w:hyperlink r:id="rId71">
        <w:bookmarkStart w:id="52" w:name="anchor13243"/>
        <w:bookmarkEnd w:id="52"/>
        <w:r>
          <w:rPr>
            <w:rStyle w:val="Hyperlink"/>
          </w:rPr>
          <w:t>подпункт 5</w:t>
        </w:r>
      </w:hyperlink>
      <w:r>
        <w:rPr/>
        <w:t xml:space="preserve"> признать утратившим силу;</w:t>
      </w:r>
    </w:p>
    <w:p>
      <w:pPr>
        <w:pStyle w:val="Style15"/>
        <w:rPr/>
      </w:pPr>
      <w:bookmarkStart w:id="53" w:name="anchor1325"/>
      <w:bookmarkEnd w:id="53"/>
      <w:r>
        <w:rPr/>
        <w:t xml:space="preserve">5) </w:t>
      </w:r>
      <w:hyperlink r:id="rId72">
        <w:r>
          <w:rPr>
            <w:rStyle w:val="Hyperlink"/>
          </w:rPr>
          <w:t>подпункт 4 пункта 7</w:t>
        </w:r>
      </w:hyperlink>
      <w:r>
        <w:rPr/>
        <w:t xml:space="preserve"> изложить в следующей редакции:</w:t>
      </w:r>
    </w:p>
    <w:p>
      <w:pPr>
        <w:pStyle w:val="Style15"/>
        <w:rPr/>
      </w:pPr>
      <w:r>
        <w:rPr/>
        <w:t>"4) осуществляет размещение информации о результатах отбора на Портале;";</w:t>
      </w:r>
    </w:p>
    <w:p>
      <w:pPr>
        <w:pStyle w:val="Style15"/>
        <w:rPr/>
      </w:pPr>
      <w:bookmarkStart w:id="54" w:name="anchor1326"/>
      <w:bookmarkEnd w:id="54"/>
      <w:r>
        <w:rPr/>
        <w:t xml:space="preserve">6) </w:t>
      </w:r>
      <w:hyperlink r:id="rId73">
        <w:r>
          <w:rPr>
            <w:rStyle w:val="Hyperlink"/>
          </w:rPr>
          <w:t>подпункт 4 пункта 9</w:t>
        </w:r>
      </w:hyperlink>
      <w:r>
        <w:rPr/>
        <w:t xml:space="preserve"> признать утратившим силу;</w:t>
      </w:r>
    </w:p>
    <w:p>
      <w:pPr>
        <w:pStyle w:val="Style15"/>
        <w:rPr/>
      </w:pPr>
      <w:bookmarkStart w:id="55" w:name="anchor1327"/>
      <w:bookmarkEnd w:id="55"/>
      <w:r>
        <w:rPr/>
        <w:t xml:space="preserve">7) </w:t>
      </w:r>
      <w:hyperlink r:id="rId74">
        <w:r>
          <w:rPr>
            <w:rStyle w:val="Hyperlink"/>
          </w:rPr>
          <w:t>пункт 11</w:t>
        </w:r>
      </w:hyperlink>
      <w:r>
        <w:rPr/>
        <w:t xml:space="preserve"> изложить в следующей редакции:</w:t>
      </w:r>
    </w:p>
    <w:p>
      <w:pPr>
        <w:pStyle w:val="Style15"/>
        <w:rPr/>
      </w:pPr>
      <w:r>
        <w:rPr/>
        <w:t>"11. В случае если член конкурсной комиссии заинтересован (лично, прямо или косвенно) в итогах отбора, или имеются иные обстоятельства, способные повлиять на участие члена конкурсной комиссии в работе конкурсной комиссии, он обязан проинформировать об этом председателя конкурсной комиссии до начала заседания конкурсной комиссии и письменно отказаться от участия в отборе, в котором имеет заинтересованность.</w:t>
      </w:r>
    </w:p>
    <w:p>
      <w:pPr>
        <w:pStyle w:val="Style15"/>
        <w:rPr/>
      </w:pPr>
      <w:r>
        <w:rPr/>
        <w:t>Секретарь конкурсной комиссии не включает в перечень экспертов в отборе на Портале члена конкурсной комиссии, отказавшегося принимать участие в отборе.</w:t>
      </w:r>
    </w:p>
    <w:p>
      <w:pPr>
        <w:pStyle w:val="Style15"/>
        <w:rPr/>
      </w:pPr>
      <w:r>
        <w:rPr/>
        <w:t>В случае если член конкурсной комиссии, заинтересованный (лично, прямо или косвенно) в итогах отбора, письменно не отказался от участия в отборе он также не включается в перечень экспертов в отборе на Портале.";</w:t>
      </w:r>
    </w:p>
    <w:p>
      <w:pPr>
        <w:pStyle w:val="Style15"/>
        <w:rPr/>
      </w:pPr>
      <w:bookmarkStart w:id="56" w:name="anchor1328"/>
      <w:bookmarkEnd w:id="56"/>
      <w:r>
        <w:rPr/>
        <w:t xml:space="preserve">8) в </w:t>
      </w:r>
      <w:hyperlink r:id="rId75">
        <w:r>
          <w:rPr>
            <w:rStyle w:val="Hyperlink"/>
          </w:rPr>
          <w:t>пункте 16</w:t>
        </w:r>
      </w:hyperlink>
      <w:r>
        <w:rPr/>
        <w:t xml:space="preserve"> слово "Управление" заменить словом "Департамент".</w:t>
      </w:r>
    </w:p>
    <w:p>
      <w:pPr>
        <w:pStyle w:val="Style15"/>
        <w:rPr/>
      </w:pPr>
      <w:bookmarkStart w:id="57" w:name="anchor1033"/>
      <w:bookmarkEnd w:id="57"/>
      <w:r>
        <w:rPr/>
        <w:t>33. </w:t>
      </w:r>
      <w:hyperlink r:id="rId76">
        <w:r>
          <w:rPr>
            <w:rStyle w:val="Hyperlink"/>
          </w:rPr>
          <w:t>Приложение 5</w:t>
        </w:r>
      </w:hyperlink>
      <w:r>
        <w:rPr/>
        <w:t xml:space="preserve"> дополнить </w:t>
      </w:r>
      <w:hyperlink r:id="rId77">
        <w:r>
          <w:rPr>
            <w:rStyle w:val="Hyperlink"/>
          </w:rPr>
          <w:t>пунктом 8</w:t>
        </w:r>
      </w:hyperlink>
      <w:r>
        <w:rPr/>
        <w:t xml:space="preserve"> следующего содержания:</w:t>
      </w:r>
    </w:p>
    <w:p>
      <w:pPr>
        <w:pStyle w:val="Style15"/>
        <w:rPr/>
      </w:pPr>
      <w:r>
        <w:rPr/>
        <w:t>"8. Транспортные услуги по доставке в сельские населенные пункты Ненецкого автономного округа пожарной техники и пожарно-технического вооружения, специальной одежды и снаряжения, приобретаемых за счет средств субсидии.".</w:t>
      </w:r>
    </w:p>
    <w:p>
      <w:pPr>
        <w:pStyle w:val="Style15"/>
        <w:rPr/>
      </w:pPr>
      <w:bookmarkStart w:id="58" w:name="anchor1034"/>
      <w:bookmarkEnd w:id="58"/>
      <w:r>
        <w:rPr/>
        <w:t xml:space="preserve">34. В </w:t>
      </w:r>
      <w:hyperlink r:id="rId78">
        <w:r>
          <w:rPr>
            <w:rStyle w:val="Hyperlink"/>
          </w:rPr>
          <w:t>абзаце втором пункта 2</w:t>
        </w:r>
      </w:hyperlink>
      <w:r>
        <w:rPr/>
        <w:t xml:space="preserve">, </w:t>
      </w:r>
      <w:hyperlink r:id="rId79">
        <w:r>
          <w:rPr>
            <w:rStyle w:val="Hyperlink"/>
          </w:rPr>
          <w:t>пункте 5</w:t>
        </w:r>
      </w:hyperlink>
      <w:r>
        <w:rPr/>
        <w:t xml:space="preserve"> Приложения 6 слово "Управления" заменить словом "Департамента".</w:t>
      </w:r>
    </w:p>
    <w:p>
      <w:pPr>
        <w:pStyle w:val="Style15"/>
        <w:rPr/>
      </w:pPr>
      <w:bookmarkStart w:id="59" w:name="anchor1035"/>
      <w:bookmarkEnd w:id="59"/>
      <w:r>
        <w:rPr/>
        <w:t xml:space="preserve">35. Дополнить </w:t>
      </w:r>
      <w:hyperlink r:id="rId80">
        <w:r>
          <w:rPr>
            <w:rStyle w:val="Hyperlink"/>
          </w:rPr>
          <w:t>Приложением 6.1</w:t>
        </w:r>
      </w:hyperlink>
      <w:r>
        <w:rPr/>
        <w:t xml:space="preserve"> следующего содержания:</w:t>
      </w:r>
    </w:p>
    <w:p>
      <w:pPr>
        <w:pStyle w:val="Style15"/>
        <w:rPr/>
      </w:pPr>
      <w:r>
        <w:rPr/>
      </w:r>
    </w:p>
    <w:p>
      <w:pPr>
        <w:pStyle w:val="Normal"/>
        <w:rPr/>
      </w:pPr>
      <w:bookmarkStart w:id="60" w:name="anchor6100"/>
      <w:bookmarkEnd w:id="60"/>
      <w:r>
        <w:rPr/>
        <w:t>"Приложение 6.1 к Порядку предоставления субсидий общественным объединениям пожарной охраны на территории Ненецкого автономного округа</w:t>
      </w:r>
    </w:p>
    <w:p>
      <w:pPr>
        <w:pStyle w:val="Style15"/>
        <w:rPr/>
      </w:pPr>
      <w:r>
        <w:rPr/>
      </w:r>
    </w:p>
    <w:p>
      <w:pPr>
        <w:pStyle w:val="1user"/>
        <w:numPr>
          <w:ilvl w:val="0"/>
          <w:numId w:val="1"/>
        </w:numPr>
        <w:outlineLvl w:val="0"/>
        <w:rPr/>
      </w:pPr>
      <w:r>
        <w:rPr/>
        <w:t>Порядок личного страхования добровольных пожарных общественного объединения добровольной пожарной охраны на период исполнения ими обязанностей добровольного пожарного</w:t>
      </w:r>
    </w:p>
    <w:p>
      <w:pPr>
        <w:pStyle w:val="Style15"/>
        <w:rPr/>
      </w:pPr>
      <w:r>
        <w:rPr/>
      </w:r>
    </w:p>
    <w:p>
      <w:pPr>
        <w:pStyle w:val="Style15"/>
        <w:rPr/>
      </w:pPr>
      <w:r>
        <w:rPr/>
        <w:t>1. Настоящий Порядок разработан в соответствии со статьей 9 закона Ненецкого автономного округа от 22.09.2011 N 66-оз "О государственной поддержке добровольной пожарной охраны в Ненецком автономном округе" и определяет порядок и условия страхования добровольных пожарных и работников общественного объединения добровольной пожарной охраны (далее соответственно - добровольные пожарные, общественное объединение) на период исполнения ими обязанностей добровольного пожарного в Ненецком автономном округе.</w:t>
      </w:r>
    </w:p>
    <w:p>
      <w:pPr>
        <w:pStyle w:val="Style15"/>
        <w:rPr/>
      </w:pPr>
      <w:r>
        <w:rPr/>
        <w:t>2. Личному страхованию подлежат добровольные пожарные общественного объединения, включенные в Реестр добровольных пожарных, привлекаемые к участию в тушении пожаров, проведению аварийно-спасательных работ, а также спасению людей и имущества при пожарах и оказанию первой помощи пострадавшим (далее также - застрахованные лица).</w:t>
      </w:r>
    </w:p>
    <w:p>
      <w:pPr>
        <w:pStyle w:val="Style15"/>
        <w:rPr/>
      </w:pPr>
      <w:r>
        <w:rPr/>
        <w:t>3. Страхователем по страхованию добровольных пожарных общественного объединения является общественное объединение (далее - страхователь).</w:t>
      </w:r>
    </w:p>
    <w:p>
      <w:pPr>
        <w:pStyle w:val="Style15"/>
        <w:rPr/>
      </w:pPr>
      <w:r>
        <w:rPr/>
        <w:t>4. Страховщиками по страхованию застрахованных лиц могут быть страховые организации, созданные в соответствии с законодательством Российской Федерации для осуществления деятельности по страхованию и получившие лицензию на осуществление соответствующего вида страховой деятельности в установленном законодательством Российской Федерации порядке и заключившие со страхователем договоры личного страхования (далее - страховщики).</w:t>
      </w:r>
    </w:p>
    <w:p>
      <w:pPr>
        <w:pStyle w:val="Style15"/>
        <w:rPr/>
      </w:pPr>
      <w:r>
        <w:rPr/>
        <w:t>5. Выгодоприобретателями по страхованию добровольных пожарных в Ненецком автономном округе являются застрахованные лица, а в случае гибели (смерти) застрахованного лица - наследники застрахованного лица (далее - выгодоприобретатели).</w:t>
      </w:r>
    </w:p>
    <w:p>
      <w:pPr>
        <w:pStyle w:val="Style15"/>
        <w:rPr/>
      </w:pPr>
      <w:r>
        <w:rPr/>
        <w:t>6. Страхование работников добровольной пожарной охраны и добровольных пожарных производится из средств субсидии общественному объединению в Ненецком автономном округе для участия в осуществлении деятельности в области пожарной безопасности и проведении аварийно-спасательных работ, а также за счет иных источников финансирования.</w:t>
      </w:r>
    </w:p>
    <w:p>
      <w:pPr>
        <w:pStyle w:val="Style15"/>
        <w:rPr/>
      </w:pPr>
      <w:r>
        <w:rPr/>
        <w:t>7. Договор личного страхования заключается на один календарный год между страхователем и страховщиком в пользу третьего лица - застрахованного лица (выгодоприобретателя) в соответствии с законодательством Российской Федерации.</w:t>
      </w:r>
    </w:p>
    <w:p>
      <w:pPr>
        <w:pStyle w:val="Style15"/>
        <w:rPr/>
      </w:pPr>
      <w:r>
        <w:rPr/>
        <w:t>8. О заключении договоров личного страхования страхователь информирует Департамент общественной безопасности Ненецкого автономного округа при направлении отчетов об осуществлении расходов, источником финансового обеспечения которых является субсидия, в соответствии с требованиями к отчетности, установленными Порядком предоставления субсидий общественным объединениям пожарной охраны на территории Ненецкого автономного округа.</w:t>
      </w:r>
    </w:p>
    <w:p>
      <w:pPr>
        <w:pStyle w:val="Style15"/>
        <w:rPr/>
      </w:pPr>
      <w:r>
        <w:rPr/>
        <w:t>9. Размер страховой суммы по договору личного страхования, выплачиваемой выгодоприобретателю, составляет 50 000 рублей. Размер страховой суммы может быть увеличен страхователем при заключении договора личного страхования, при условии, что страхование производится за счет иных источников финансирования, не являющихся средствами субсидии.</w:t>
      </w:r>
    </w:p>
    <w:p>
      <w:pPr>
        <w:pStyle w:val="Style15"/>
        <w:rPr/>
      </w:pPr>
      <w:r>
        <w:rPr/>
        <w:t>10. Выплаты по личному страхованию добровольных пожарных общественного объединения при наступлении страховых случаев, указанных в договоре личного страхования, производятся независимо от выплат по социальному страхованию, социальному обеспечению в порядке возмещения вреда здоровью, иных выплат, предусмотренных законодательством Российской Федерации и Ненецкого автономного округа.".</w:t>
      </w:r>
    </w:p>
    <w:p>
      <w:pPr>
        <w:pStyle w:val="Style15"/>
        <w:rPr/>
      </w:pPr>
      <w:bookmarkStart w:id="61" w:name="anchor1036"/>
      <w:bookmarkEnd w:id="61"/>
      <w:r>
        <w:rPr/>
        <w:t xml:space="preserve">36. В </w:t>
      </w:r>
      <w:hyperlink r:id="rId81">
        <w:r>
          <w:rPr>
            <w:rStyle w:val="Hyperlink"/>
          </w:rPr>
          <w:t>Приложении 8</w:t>
        </w:r>
      </w:hyperlink>
      <w:r>
        <w:rPr/>
        <w:t xml:space="preserve"> слова "Начальнику Управления гражданской защиты и обеспечения пожарной безопасности" заменить словами "Руководителю Департамента общественной безопасности".</w:t>
      </w:r>
    </w:p>
    <w:p>
      <w:pPr>
        <w:pStyle w:val="Style15"/>
        <w:rPr/>
      </w:pPr>
      <w:r>
        <w:rPr/>
      </w:r>
    </w:p>
    <w:sectPr>
      <w:headerReference w:type="default" r:id="rId82"/>
      <w:footerReference w:type="default" r:id="rId83"/>
      <w:type w:val="nextPage"/>
      <w:pgSz w:w="11906" w:h="16838"/>
      <w:pgMar w:left="794" w:right="794" w:gutter="0" w:header="794" w:top="1077" w:footer="794" w:bottom="107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auto"/>
    <w:pitch w:val="default"/>
  </w:font>
  <w:font w:name="Courier New">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0" w:type="dxa"/>
        <w:bottom w:w="0" w:type="dxa"/>
        <w:right w:w="0" w:type="dxa"/>
      </w:tblCellMar>
    </w:tblPr>
    <w:tblGrid>
      <w:gridCol w:w="3439"/>
      <w:gridCol w:w="3439"/>
      <w:gridCol w:w="3440"/>
    </w:tblGrid>
    <w:tr>
      <w:trPr/>
      <w:tc>
        <w:tcPr>
          <w:tcW w:w="3439" w:type="dxa"/>
          <w:tcBorders/>
        </w:tcPr>
        <w:p>
          <w:pPr>
            <w:pStyle w:val="Normal"/>
            <w:ind w:hanging="0"/>
            <w:jc w:val="left"/>
            <w:rPr>
              <w:rFonts w:ascii="Times New Roman" w:hAnsi="Times New Roman"/>
              <w:sz w:val="20"/>
            </w:rPr>
          </w:pPr>
          <w:r>
            <w:rPr>
              <w:sz w:val="20"/>
            </w:rPr>
            <w:fldChar w:fldCharType="begin" w:fldLock="true"/>
          </w:r>
          <w:r>
            <w:rPr>
              <w:sz w:val="20"/>
            </w:rPr>
            <w:instrText xml:space="preserve"> DATE \@"dd.MM.yyyy" </w:instrText>
          </w:r>
          <w:r>
            <w:rPr>
              <w:sz w:val="20"/>
            </w:rPr>
            <w:fldChar w:fldCharType="separate"/>
          </w:r>
          <w:r>
            <w:rPr>
              <w:sz w:val="20"/>
            </w:rPr>
            <w:t>28.10.2026</w:t>
          </w:r>
          <w:r>
            <w:rPr>
              <w:sz w:val="20"/>
            </w:rPr>
            <w:fldChar w:fldCharType="end"/>
          </w:r>
          <w:r>
            <w:rPr>
              <w:sz w:val="20"/>
            </w:rPr>
            <w:t xml:space="preserve"> </w:t>
          </w:r>
        </w:p>
      </w:tc>
      <w:tc>
        <w:tcPr>
          <w:tcW w:w="3439" w:type="dxa"/>
          <w:tcBorders/>
        </w:tcPr>
        <w:p>
          <w:pPr>
            <w:pStyle w:val="Normal"/>
            <w:ind w:hanging="0"/>
            <w:jc w:val="center"/>
            <w:rPr>
              <w:rFonts w:ascii="Times New Roman" w:hAnsi="Times New Roman"/>
              <w:sz w:val="20"/>
            </w:rPr>
          </w:pPr>
          <w:r>
            <w:rPr>
              <w:sz w:val="20"/>
            </w:rPr>
            <w:t xml:space="preserve">Система ГАРАНТ </w:t>
          </w:r>
        </w:p>
      </w:tc>
      <w:tc>
        <w:tcPr>
          <w:tcW w:w="3440" w:type="dxa"/>
          <w:tcBorders/>
        </w:tcPr>
        <w:p>
          <w:pPr>
            <w:pStyle w:val="Normal"/>
            <w:ind w:hanging="0"/>
            <w:jc w:val="right"/>
            <w:rPr>
              <w:rFonts w:ascii="Times New Roman" w:hAnsi="Times New Roman"/>
              <w:sz w:val="20"/>
            </w:rPr>
          </w:pPr>
          <w:r>
            <w:rPr>
              <w:sz w:val="20"/>
            </w:rPr>
            <w:fldChar w:fldCharType="begin"/>
          </w:r>
          <w:r>
            <w:rPr>
              <w:sz w:val="20"/>
            </w:rPr>
            <w:instrText xml:space="preserve"> PAGE </w:instrText>
          </w:r>
          <w:r>
            <w:rPr>
              <w:sz w:val="20"/>
            </w:rPr>
            <w:fldChar w:fldCharType="separate"/>
          </w:r>
          <w:r>
            <w:rPr>
              <w:sz w:val="20"/>
            </w:rPr>
            <w:t>5</w:t>
          </w:r>
          <w:r>
            <w:rPr>
              <w:sz w:val="20"/>
            </w:rPr>
            <w:fldChar w:fldCharType="end"/>
          </w:r>
          <w:r>
            <w:rPr>
              <w:sz w:val="20"/>
            </w:rPr>
            <w:t>/</w:t>
          </w:r>
          <w:r>
            <w:rPr>
              <w:sz w:val="20"/>
            </w:rPr>
            <w:fldChar w:fldCharType="begin"/>
          </w:r>
          <w:r>
            <w:rPr>
              <w:sz w:val="20"/>
            </w:rPr>
            <w:instrText xml:space="preserve"> NUMPAGES \* ARABIC </w:instrText>
          </w:r>
          <w:r>
            <w:rPr>
              <w:sz w:val="20"/>
            </w:rPr>
            <w:fldChar w:fldCharType="separate"/>
          </w:r>
          <w:r>
            <w:rPr>
              <w:sz w:val="20"/>
            </w:rPr>
            <w:t>5</w:t>
          </w:r>
          <w:r>
            <w:rPr>
              <w:sz w:val="20"/>
            </w:rPr>
            <w:fldChar w:fldCharType="end"/>
          </w:r>
          <w:r>
            <w:rPr>
              <w:sz w:val="20"/>
            </w:rPr>
            <w:t xml:space="preserve"> </w:t>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hanging="0"/>
      <w:jc w:val="left"/>
      <w:rPr>
        <w:rFonts w:ascii="Times New Roman" w:hAnsi="Times New Roman"/>
        <w:sz w:val="20"/>
      </w:rPr>
    </w:pPr>
    <w:r>
      <w:rPr>
        <w:sz w:val="20"/>
      </w:rPr>
      <w:t>Постановление Администрации Ненецкого автономного округа от 6 июля 2026 г. N 233-п "О внесении из...</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Tahoma"/>
        <w:color w:val="000000"/>
        <w:sz w:val="24"/>
        <w:szCs w:val="24"/>
        <w:lang w:val="ru-RU" w:eastAsia="zh-CN" w:bidi="hi-IN"/>
      </w:rPr>
    </w:rPrDefault>
    <w:pPrDefault>
      <w:pPr>
        <w:suppressAutoHyphens w:val="true"/>
      </w:pPr>
    </w:pPrDefault>
  </w:docDefaults>
  <w:style w:type="paragraph" w:styleId="Normal">
    <w:name w:val="Normal"/>
    <w:qFormat/>
    <w:pPr>
      <w:widowControl/>
      <w:bidi w:val="0"/>
      <w:spacing w:before="0" w:after="0"/>
      <w:ind w:firstLine="720" w:left="0" w:right="0"/>
      <w:jc w:val="both"/>
    </w:pPr>
    <w:rPr>
      <w:rFonts w:ascii="Times New Roman" w:hAnsi="Times New Roman"/>
      <w:sz w:val="24"/>
      <w:lang w:val="ru-RU" w:eastAsia="zh-CN" w:bidi="hi-IN"/>
    </w:rPr>
  </w:style>
  <w:style w:type="character" w:styleId="Hyperlink">
    <w:name w:val="Hyperlink"/>
    <w:rPr>
      <w:color w:val="000080"/>
      <w:u w:val="single"/>
    </w:rPr>
  </w:style>
  <w:style w:type="paragraph" w:styleId="Normal1">
    <w:name w:val="Normal1"/>
    <w:qFormat/>
    <w:pPr>
      <w:widowControl w:val="false"/>
      <w:bidi w:val="0"/>
    </w:pPr>
    <w:rPr>
      <w:rFonts w:ascii="Times New Roman" w:hAnsi="Times New Roman"/>
      <w:sz w:val="24"/>
      <w:lang w:val="ru-RU" w:eastAsia="zh-CN" w:bidi="hi-IN"/>
    </w:rPr>
  </w:style>
  <w:style w:type="paragraph" w:styleId="Preformatted">
    <w:name w:val="Preformatted"/>
    <w:qFormat/>
    <w:pPr>
      <w:widowControl/>
      <w:suppressAutoHyphens w:val="false"/>
      <w:bidi w:val="0"/>
      <w:spacing w:before="0" w:after="0"/>
      <w:ind w:hanging="0" w:left="0" w:right="0"/>
      <w:jc w:val="both"/>
    </w:pPr>
    <w:rPr>
      <w:rFonts w:ascii="Courier New" w:hAnsi="Courier New" w:eastAsia="Symbol" w:cs="Wingdings"/>
      <w:sz w:val="24"/>
      <w:szCs w:val="24"/>
      <w:lang w:val="ru-RU" w:eastAsia="zh-CN" w:bidi="hi-IN"/>
    </w:rPr>
  </w:style>
  <w:style w:type="paragraph" w:styleId="Style14">
    <w:name w:val="Заголовок"/>
    <w:basedOn w:val="Normal"/>
    <w:qFormat/>
    <w:pPr>
      <w:keepNext w:val="true"/>
      <w:spacing w:before="240" w:after="120"/>
      <w:jc w:val="center"/>
    </w:pPr>
    <w:rPr>
      <w:rFonts w:ascii="Times New Roman" w:hAnsi="Times New Roman"/>
      <w:b/>
    </w:rPr>
  </w:style>
  <w:style w:type="paragraph" w:styleId="BodyText">
    <w:name w:val="Body Text"/>
    <w:basedOn w:val="Normal"/>
    <w:pPr>
      <w:spacing w:lineRule="auto" w:line="276" w:before="0" w:after="140"/>
    </w:pPr>
    <w:rPr/>
  </w:style>
  <w:style w:type="paragraph" w:styleId="Style15">
    <w:name w:val="Нормальный"/>
    <w:basedOn w:val="Normal"/>
    <w:qFormat/>
    <w:pPr/>
    <w:rPr/>
  </w:style>
  <w:style w:type="paragraph" w:styleId="OEM">
    <w:name w:val="Нормальный (OEM)"/>
    <w:basedOn w:val="Preformatted"/>
    <w:qFormat/>
    <w:pPr/>
    <w:rPr/>
  </w:style>
  <w:style w:type="paragraph" w:styleId="1user">
    <w:name w:val="Заголовок 1 (user)"/>
    <w:basedOn w:val="Style14"/>
    <w:qFormat/>
    <w:pPr/>
    <w:rPr/>
  </w:style>
  <w:style w:type="paragraph" w:styleId="2user">
    <w:name w:val="Заголовок 2 (user)"/>
    <w:basedOn w:val="Style14"/>
    <w:qFormat/>
    <w:pPr/>
    <w:rPr/>
  </w:style>
  <w:style w:type="paragraph" w:styleId="3user">
    <w:name w:val="Заголовок 3 (user)"/>
    <w:basedOn w:val="Style14"/>
    <w:qFormat/>
    <w:pPr/>
    <w:rPr/>
  </w:style>
  <w:style w:type="paragraph" w:styleId="4user">
    <w:name w:val="Заголовок 4 (user)"/>
    <w:basedOn w:val="Style14"/>
    <w:qFormat/>
    <w:pPr/>
    <w:rPr/>
  </w:style>
  <w:style w:type="paragraph" w:styleId="Style16">
    <w:name w:val="Утратил силу"/>
    <w:basedOn w:val="Normal"/>
    <w:qFormat/>
    <w:pPr/>
    <w:rPr>
      <w:strike/>
      <w:color w:val="666600"/>
    </w:rPr>
  </w:style>
  <w:style w:type="paragraph" w:styleId="Textreference">
    <w:name w:val="Text (reference)"/>
    <w:basedOn w:val="Normal"/>
    <w:qFormat/>
    <w:pPr>
      <w:spacing w:before="0" w:after="0"/>
      <w:ind w:hanging="0" w:left="170" w:right="170"/>
      <w:jc w:val="left"/>
    </w:pPr>
    <w:rPr>
      <w:sz w:val="24"/>
    </w:rPr>
  </w:style>
  <w:style w:type="paragraph" w:styleId="user">
    <w:name w:val="Комментарий (user)"/>
    <w:basedOn w:val="Textreference"/>
    <w:qFormat/>
    <w:pPr>
      <w:shd w:fill="F0F0F0" w:val="clear"/>
      <w:spacing w:before="75" w:after="0"/>
      <w:ind w:right="0"/>
      <w:jc w:val="both"/>
    </w:pPr>
    <w:rPr>
      <w:i/>
      <w:color w:val="353842"/>
      <w:shd w:fill="F0F0F0" w:val="clear"/>
    </w:rPr>
  </w:style>
  <w:style w:type="paragraph" w:styleId="Style17">
    <w:name w:val="Заголовок статьи"/>
    <w:basedOn w:val="Normal"/>
    <w:qFormat/>
    <w:pPr>
      <w:spacing w:before="0" w:after="0"/>
      <w:ind w:hanging="892" w:left="1612" w:right="0"/>
      <w:jc w:val="both"/>
    </w:pPr>
    <w:rPr/>
  </w:style>
  <w:style w:type="paragraph" w:styleId="Style18">
    <w:name w:val="Прижатый влево"/>
    <w:basedOn w:val="Normal"/>
    <w:qFormat/>
    <w:pPr>
      <w:suppressAutoHyphens w:val="true"/>
      <w:ind w:hanging="0"/>
      <w:jc w:val="left"/>
    </w:pPr>
    <w:rPr/>
  </w:style>
  <w:style w:type="paragraph" w:styleId="Style19">
    <w:name w:val="Информация о версии"/>
    <w:basedOn w:val="Textreference"/>
    <w:qFormat/>
    <w:pPr>
      <w:shd w:fill="F0F0F0" w:val="clear"/>
      <w:spacing w:before="75" w:after="0"/>
      <w:ind w:right="0"/>
      <w:jc w:val="both"/>
    </w:pPr>
    <w:rPr>
      <w:i/>
      <w:color w:val="353842"/>
      <w:shd w:fill="F0F0F0" w:val="clear"/>
    </w:rPr>
  </w:style>
  <w:style w:type="paragraph" w:styleId="Style20">
    <w:name w:val="Не вступил в силу"/>
    <w:basedOn w:val="Normal"/>
    <w:qFormat/>
    <w:pPr>
      <w:ind w:hanging="139" w:left="139" w:right="0"/>
    </w:pPr>
    <w:rPr/>
  </w:style>
  <w:style w:type="paragraph" w:styleId="Style21">
    <w:name w:val="Информация об изменениях"/>
    <w:basedOn w:val="Normal"/>
    <w:qFormat/>
    <w:pPr>
      <w:shd w:fill="EAEFED" w:val="clear"/>
      <w:spacing w:before="180" w:after="0"/>
      <w:ind w:hanging="0" w:left="360" w:right="360"/>
    </w:pPr>
    <w:rPr>
      <w:color w:val="353842"/>
      <w:sz w:val="20"/>
      <w:shd w:fill="EAEFED" w:val="clear"/>
    </w:rPr>
  </w:style>
  <w:style w:type="paragraph" w:styleId="Style22">
    <w:name w:val="Заголовок ЭР (левое окно)"/>
    <w:basedOn w:val="Style14"/>
    <w:qFormat/>
    <w:pPr/>
    <w:rPr/>
  </w:style>
  <w:style w:type="paragraph" w:styleId="user1">
    <w:name w:val="Сноска (user)"/>
    <w:basedOn w:val="Normal"/>
    <w:qFormat/>
    <w:pPr/>
    <w:rPr>
      <w:sz w:val="20"/>
    </w:rPr>
  </w:style>
  <w:style w:type="paragraph" w:styleId="Style23">
    <w:name w:val="Колонтитулы"/>
    <w:basedOn w:val="Normal"/>
    <w:qFormat/>
    <w:pPr>
      <w:suppressLineNumbers/>
      <w:tabs>
        <w:tab w:val="clear" w:pos="720"/>
        <w:tab w:val="center" w:pos="4819" w:leader="none"/>
        <w:tab w:val="right" w:pos="9638" w:leader="none"/>
      </w:tabs>
    </w:pPr>
    <w:rPr/>
  </w:style>
  <w:style w:type="paragraph" w:styleId="Header">
    <w:name w:val="header"/>
    <w:basedOn w:val="Style23"/>
    <w:pPr>
      <w:suppressLineNumbers/>
    </w:pPr>
    <w:rPr/>
  </w:style>
  <w:style w:type="paragraph" w:styleId="Footer">
    <w:name w:val="footer"/>
    <w:basedOn w:val="Style23"/>
    <w:pPr>
      <w:suppressLineNumbers/>
    </w:pPr>
    <w:rPr/>
  </w:style>
  <w:style w:type="paragraph" w:styleId="Style24">
    <w:name w:val="Содержимое таблицы"/>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garant.ogvnao.local:8082/document/redirect/33606003/30" TargetMode="External"/><Relationship Id="rId3" Type="http://schemas.openxmlformats.org/officeDocument/2006/relationships/hyperlink" Target="http://garant.ogvnao.local:8082/document/redirect/408236249/10000" TargetMode="External"/><Relationship Id="rId4" Type="http://schemas.openxmlformats.org/officeDocument/2006/relationships/hyperlink" Target="http://garant.ogvnao.local:8082/document/redirect/408236249/0" TargetMode="External"/><Relationship Id="rId5" Type="http://schemas.openxmlformats.org/officeDocument/2006/relationships/hyperlink" Target="http://garant.ogvnao.local:8082/document/redirect/411802332/0" TargetMode="External"/><Relationship Id="rId6" Type="http://schemas.openxmlformats.org/officeDocument/2006/relationships/hyperlink" Target="http://garant.ogvnao.local:8082/document/redirect/33585416/0" TargetMode="External"/><Relationship Id="rId7" Type="http://schemas.openxmlformats.org/officeDocument/2006/relationships/hyperlink" Target="http://garant.ogvnao.local:8082/document/redirect/414518758/0" TargetMode="External"/><Relationship Id="rId8" Type="http://schemas.openxmlformats.org/officeDocument/2006/relationships/hyperlink" Target="http://garant.ogvnao.local:8082/document/redirect/408236249/1002" TargetMode="External"/><Relationship Id="rId9" Type="http://schemas.openxmlformats.org/officeDocument/2006/relationships/hyperlink" Target="http://garant.ogvnao.local:8082/document/redirect/408236249/1005" TargetMode="External"/><Relationship Id="rId10" Type="http://schemas.openxmlformats.org/officeDocument/2006/relationships/hyperlink" Target="http://garant.ogvnao.local:8082/document/redirect/408236249/1008" TargetMode="External"/><Relationship Id="rId11" Type="http://schemas.openxmlformats.org/officeDocument/2006/relationships/hyperlink" Target="http://garant.ogvnao.local:8082/document/redirect/408236249/1009" TargetMode="External"/><Relationship Id="rId12" Type="http://schemas.openxmlformats.org/officeDocument/2006/relationships/hyperlink" Target="http://garant.ogvnao.local:8082/document/redirect/408236249/1010" TargetMode="External"/><Relationship Id="rId13" Type="http://schemas.openxmlformats.org/officeDocument/2006/relationships/hyperlink" Target="http://garant.ogvnao.local:8082/document/redirect/408236249/1011" TargetMode="External"/><Relationship Id="rId14" Type="http://schemas.openxmlformats.org/officeDocument/2006/relationships/hyperlink" Target="http://garant.ogvnao.local:8082/document/redirect/408236249/1012" TargetMode="External"/><Relationship Id="rId15" Type="http://schemas.openxmlformats.org/officeDocument/2006/relationships/hyperlink" Target="http://garant.ogvnao.local:8082/document/redirect/408236249/1013" TargetMode="External"/><Relationship Id="rId16" Type="http://schemas.openxmlformats.org/officeDocument/2006/relationships/hyperlink" Target="http://garant.ogvnao.local:8082/document/redirect/408236249/1013" TargetMode="External"/><Relationship Id="rId17" Type="http://schemas.openxmlformats.org/officeDocument/2006/relationships/hyperlink" Target="http://garant.ogvnao.local:8082/document/redirect/408236249/10132" TargetMode="External"/><Relationship Id="rId18" Type="http://schemas.openxmlformats.org/officeDocument/2006/relationships/hyperlink" Target="http://garant.ogvnao.local:8082/document/redirect/408236249/10134" TargetMode="External"/><Relationship Id="rId19" Type="http://schemas.openxmlformats.org/officeDocument/2006/relationships/hyperlink" Target="http://garant.ogvnao.local:8082/document/redirect/408236249/11312" TargetMode="External"/><Relationship Id="rId20" Type="http://schemas.openxmlformats.org/officeDocument/2006/relationships/hyperlink" Target="http://garant.ogvnao.local:8082/document/redirect/408236249/1132" TargetMode="External"/><Relationship Id="rId21" Type="http://schemas.openxmlformats.org/officeDocument/2006/relationships/hyperlink" Target="http://garant.ogvnao.local:8082/document/redirect/408236249/1132" TargetMode="External"/><Relationship Id="rId22" Type="http://schemas.openxmlformats.org/officeDocument/2006/relationships/hyperlink" Target="http://garant.ogvnao.local:8082/document/redirect/408236249/11322" TargetMode="External"/><Relationship Id="rId23" Type="http://schemas.openxmlformats.org/officeDocument/2006/relationships/hyperlink" Target="http://garant.ogvnao.local:8082/document/redirect/408236249/1014" TargetMode="External"/><Relationship Id="rId24" Type="http://schemas.openxmlformats.org/officeDocument/2006/relationships/hyperlink" Target="http://garant.ogvnao.local:8082/document/redirect/408236249/1015" TargetMode="External"/><Relationship Id="rId25" Type="http://schemas.openxmlformats.org/officeDocument/2006/relationships/hyperlink" Target="http://garant.ogvnao.local:8082/document/redirect/408236249/1015" TargetMode="External"/><Relationship Id="rId26" Type="http://schemas.openxmlformats.org/officeDocument/2006/relationships/hyperlink" Target="http://garant.ogvnao.local:8082/document/redirect/408236249/101533" TargetMode="External"/><Relationship Id="rId27" Type="http://schemas.openxmlformats.org/officeDocument/2006/relationships/hyperlink" Target="http://garant.ogvnao.local:8082/document/redirect/408236249/10155" TargetMode="External"/><Relationship Id="rId28" Type="http://schemas.openxmlformats.org/officeDocument/2006/relationships/hyperlink" Target="http://garant.ogvnao.local:8082/document/redirect/408236249/11512" TargetMode="External"/><Relationship Id="rId29" Type="http://schemas.openxmlformats.org/officeDocument/2006/relationships/hyperlink" Target="http://garant.ogvnao.local:8082/document/redirect/408236249/1016" TargetMode="External"/><Relationship Id="rId30" Type="http://schemas.openxmlformats.org/officeDocument/2006/relationships/hyperlink" Target="http://garant.ogvnao.local:8082/document/redirect/408236249/10220" TargetMode="External"/><Relationship Id="rId31" Type="http://schemas.openxmlformats.org/officeDocument/2006/relationships/hyperlink" Target="http://garant.ogvnao.local:8082/document/redirect/408236249/1026" TargetMode="External"/><Relationship Id="rId32" Type="http://schemas.openxmlformats.org/officeDocument/2006/relationships/hyperlink" Target="http://garant.ogvnao.local:8082/document/redirect/408236249/1030" TargetMode="External"/><Relationship Id="rId33" Type="http://schemas.openxmlformats.org/officeDocument/2006/relationships/hyperlink" Target="http://garant.ogvnao.local:8082/document/redirect/408236249/1031" TargetMode="External"/><Relationship Id="rId34" Type="http://schemas.openxmlformats.org/officeDocument/2006/relationships/hyperlink" Target="http://garant.ogvnao.local:8082/document/redirect/408236249/1032" TargetMode="External"/><Relationship Id="rId35" Type="http://schemas.openxmlformats.org/officeDocument/2006/relationships/hyperlink" Target="http://garant.ogvnao.local:8082/document/redirect/408236249/1033" TargetMode="External"/><Relationship Id="rId36" Type="http://schemas.openxmlformats.org/officeDocument/2006/relationships/hyperlink" Target="http://garant.ogvnao.local:8082/document/redirect/408236249/10332" TargetMode="External"/><Relationship Id="rId37" Type="http://schemas.openxmlformats.org/officeDocument/2006/relationships/hyperlink" Target="http://garant.ogvnao.local:8082/document/redirect/408236249/1034" TargetMode="External"/><Relationship Id="rId38" Type="http://schemas.openxmlformats.org/officeDocument/2006/relationships/hyperlink" Target="http://garant.ogvnao.local:8082/document/redirect/408236249/1035" TargetMode="External"/><Relationship Id="rId39" Type="http://schemas.openxmlformats.org/officeDocument/2006/relationships/hyperlink" Target="http://garant.ogvnao.local:8082/document/redirect/408236249/1037" TargetMode="External"/><Relationship Id="rId40" Type="http://schemas.openxmlformats.org/officeDocument/2006/relationships/hyperlink" Target="http://garant.ogvnao.local:8082/document/redirect/408236249/10381" TargetMode="External"/><Relationship Id="rId41" Type="http://schemas.openxmlformats.org/officeDocument/2006/relationships/hyperlink" Target="http://garant.ogvnao.local:8082/document/redirect/408236249/1038" TargetMode="External"/><Relationship Id="rId42" Type="http://schemas.openxmlformats.org/officeDocument/2006/relationships/hyperlink" Target="http://garant.ogvnao.local:8082/document/redirect/408236249/1039" TargetMode="External"/><Relationship Id="rId43" Type="http://schemas.openxmlformats.org/officeDocument/2006/relationships/hyperlink" Target="http://garant.ogvnao.local:8082/document/redirect/408236249/1042" TargetMode="External"/><Relationship Id="rId44" Type="http://schemas.openxmlformats.org/officeDocument/2006/relationships/hyperlink" Target="http://garant.ogvnao.local:8082/document/redirect/408236249/1046" TargetMode="External"/><Relationship Id="rId45" Type="http://schemas.openxmlformats.org/officeDocument/2006/relationships/hyperlink" Target="http://garant.ogvnao.local:8082/document/redirect/408236249/1047" TargetMode="External"/><Relationship Id="rId46" Type="http://schemas.openxmlformats.org/officeDocument/2006/relationships/hyperlink" Target="http://garant.ogvnao.local:8082/document/redirect/408236249/1048" TargetMode="External"/><Relationship Id="rId47" Type="http://schemas.openxmlformats.org/officeDocument/2006/relationships/hyperlink" Target="http://garant.ogvnao.local:8082/document/redirect/408236249/10505" TargetMode="External"/><Relationship Id="rId48" Type="http://schemas.openxmlformats.org/officeDocument/2006/relationships/hyperlink" Target="http://garant.ogvnao.local:8082/document/redirect/408236249/1054" TargetMode="External"/><Relationship Id="rId49" Type="http://schemas.openxmlformats.org/officeDocument/2006/relationships/hyperlink" Target="http://garant.ogvnao.local:8082/document/redirect/408236249/10552" TargetMode="External"/><Relationship Id="rId50" Type="http://schemas.openxmlformats.org/officeDocument/2006/relationships/hyperlink" Target="http://garant.ogvnao.local:8082/document/redirect/408236249/10553" TargetMode="External"/><Relationship Id="rId51" Type="http://schemas.openxmlformats.org/officeDocument/2006/relationships/hyperlink" Target="http://garant.ogvnao.local:8082/document/redirect/408236249/10556" TargetMode="External"/><Relationship Id="rId52" Type="http://schemas.openxmlformats.org/officeDocument/2006/relationships/hyperlink" Target="http://garant.ogvnao.local:8082/document/redirect/408236249/1056" TargetMode="External"/><Relationship Id="rId53" Type="http://schemas.openxmlformats.org/officeDocument/2006/relationships/hyperlink" Target="http://garant.ogvnao.local:8082/document/redirect/408236249/1063" TargetMode="External"/><Relationship Id="rId54" Type="http://schemas.openxmlformats.org/officeDocument/2006/relationships/hyperlink" Target="http://garant.ogvnao.local:8082/document/redirect/408236249/1064" TargetMode="External"/><Relationship Id="rId55" Type="http://schemas.openxmlformats.org/officeDocument/2006/relationships/hyperlink" Target="http://garant.ogvnao.local:8082/document/redirect/408236249/1066" TargetMode="External"/><Relationship Id="rId56" Type="http://schemas.openxmlformats.org/officeDocument/2006/relationships/hyperlink" Target="http://garant.ogvnao.local:8082/document/redirect/408236249/1067" TargetMode="External"/><Relationship Id="rId57" Type="http://schemas.openxmlformats.org/officeDocument/2006/relationships/hyperlink" Target="http://garant.ogvnao.local:8082/document/redirect/408236249/10681" TargetMode="External"/><Relationship Id="rId58" Type="http://schemas.openxmlformats.org/officeDocument/2006/relationships/hyperlink" Target="http://garant.ogvnao.local:8082/document/redirect/408236249/1069" TargetMode="External"/><Relationship Id="rId59" Type="http://schemas.openxmlformats.org/officeDocument/2006/relationships/hyperlink" Target="http://garant.ogvnao.local:8082/document/redirect/408236249/1072" TargetMode="External"/><Relationship Id="rId60" Type="http://schemas.openxmlformats.org/officeDocument/2006/relationships/hyperlink" Target="http://garant.ogvnao.local:8082/document/redirect/408236249/1073" TargetMode="External"/><Relationship Id="rId61" Type="http://schemas.openxmlformats.org/officeDocument/2006/relationships/hyperlink" Target="http://garant.ogvnao.local:8082/document/redirect/408236249/1078" TargetMode="External"/><Relationship Id="rId62" Type="http://schemas.openxmlformats.org/officeDocument/2006/relationships/hyperlink" Target="http://garant.ogvnao.local:8082/document/redirect/408236249/10004" TargetMode="External"/><Relationship Id="rId63" Type="http://schemas.openxmlformats.org/officeDocument/2006/relationships/hyperlink" Target="http://garant.ogvnao.local:8082/document/redirect/408236249/2000" TargetMode="External"/><Relationship Id="rId64" Type="http://schemas.openxmlformats.org/officeDocument/2006/relationships/hyperlink" Target="http://garant.ogvnao.local:8082/document/redirect/408236249/2002" TargetMode="External"/><Relationship Id="rId65" Type="http://schemas.openxmlformats.org/officeDocument/2006/relationships/hyperlink" Target="http://garant.ogvnao.local:8082/document/redirect/408236249/2003" TargetMode="External"/><Relationship Id="rId66" Type="http://schemas.openxmlformats.org/officeDocument/2006/relationships/hyperlink" Target="http://garant.ogvnao.local:8082/document/redirect/408236249/2031" TargetMode="External"/><Relationship Id="rId67" Type="http://schemas.openxmlformats.org/officeDocument/2006/relationships/hyperlink" Target="http://garant.ogvnao.local:8082/document/redirect/408236249/2032" TargetMode="External"/><Relationship Id="rId68" Type="http://schemas.openxmlformats.org/officeDocument/2006/relationships/hyperlink" Target="http://garant.ogvnao.local:8082/document/redirect/408236249/2005" TargetMode="External"/><Relationship Id="rId69" Type="http://schemas.openxmlformats.org/officeDocument/2006/relationships/hyperlink" Target="http://garant.ogvnao.local:8082/document/redirect/408236249/2052" TargetMode="External"/><Relationship Id="rId70" Type="http://schemas.openxmlformats.org/officeDocument/2006/relationships/hyperlink" Target="http://garant.ogvnao.local:8082/document/redirect/408236249/2054" TargetMode="External"/><Relationship Id="rId71" Type="http://schemas.openxmlformats.org/officeDocument/2006/relationships/hyperlink" Target="http://garant.ogvnao.local:8082/document/redirect/408236249/2055" TargetMode="External"/><Relationship Id="rId72" Type="http://schemas.openxmlformats.org/officeDocument/2006/relationships/hyperlink" Target="http://garant.ogvnao.local:8082/document/redirect/408236249/2074" TargetMode="External"/><Relationship Id="rId73" Type="http://schemas.openxmlformats.org/officeDocument/2006/relationships/hyperlink" Target="http://garant.ogvnao.local:8082/document/redirect/408236249/2094" TargetMode="External"/><Relationship Id="rId74" Type="http://schemas.openxmlformats.org/officeDocument/2006/relationships/hyperlink" Target="http://garant.ogvnao.local:8082/document/redirect/408236249/2011" TargetMode="External"/><Relationship Id="rId75" Type="http://schemas.openxmlformats.org/officeDocument/2006/relationships/hyperlink" Target="http://garant.ogvnao.local:8082/document/redirect/408236249/2016" TargetMode="External"/><Relationship Id="rId76" Type="http://schemas.openxmlformats.org/officeDocument/2006/relationships/hyperlink" Target="http://garant.ogvnao.local:8082/document/redirect/408236249/5000" TargetMode="External"/><Relationship Id="rId77" Type="http://schemas.openxmlformats.org/officeDocument/2006/relationships/hyperlink" Target="http://garant.ogvnao.local:8082/document/redirect/408236249/5008" TargetMode="External"/><Relationship Id="rId78" Type="http://schemas.openxmlformats.org/officeDocument/2006/relationships/hyperlink" Target="http://garant.ogvnao.local:8082/document/redirect/408236249/60022" TargetMode="External"/><Relationship Id="rId79" Type="http://schemas.openxmlformats.org/officeDocument/2006/relationships/hyperlink" Target="http://garant.ogvnao.local:8082/document/redirect/408236249/6005" TargetMode="External"/><Relationship Id="rId80" Type="http://schemas.openxmlformats.org/officeDocument/2006/relationships/hyperlink" Target="http://garant.ogvnao.local:8082/document/redirect/408236249/6100" TargetMode="External"/><Relationship Id="rId81" Type="http://schemas.openxmlformats.org/officeDocument/2006/relationships/hyperlink" Target="http://garant.ogvnao.local:8082/document/redirect/408236249/8000" TargetMode="External"/><Relationship Id="rId82" Type="http://schemas.openxmlformats.org/officeDocument/2006/relationships/header" Target="header1.xml"/><Relationship Id="rId83" Type="http://schemas.openxmlformats.org/officeDocument/2006/relationships/footer" Target="footer1.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LibreOffice/25.2.6.2$Linux_X86_64 LibreOffice_project/520$Build-2</Application>
  <AppVersion>15.0000</AppVersion>
  <Pages>5</Pages>
  <Words>2025</Words>
  <Characters>14228</Characters>
  <CharactersWithSpaces>16115</CharactersWithSpaces>
  <Paragraphs>141</Paragraphs>
  <Company>НПП "Гарант-Сервис"</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dc:language>ru-RU</dc:language>
  <cp:lastModifiedBy/>
  <cp:revision>0</cp:revision>
  <dc:subject/>
  <dc:title/>
</cp:coreProperties>
</file>

<file path=docProps/custom.xml><?xml version="1.0" encoding="utf-8"?>
<Properties xmlns="http://schemas.openxmlformats.org/officeDocument/2006/custom-properties" xmlns:vt="http://schemas.openxmlformats.org/officeDocument/2006/docPropsVTypes"/>
</file>